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00" w:lineRule="exact"/>
        <w:jc w:val="left"/>
        <w:textAlignment w:val="auto"/>
        <w:rPr>
          <w:rFonts w:hint="default"/>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中共平凉市委机构编制委员会办公室</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2023年项目支出绩效评价报告</w:t>
      </w:r>
    </w:p>
    <w:bookmarkEnd w:id="0"/>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640" w:firstLineChars="200"/>
        <w:jc w:val="left"/>
        <w:textAlignment w:val="auto"/>
        <w:rPr>
          <w:rFonts w:hint="eastAsia" w:ascii="黑体" w:hAnsi="黑体" w:eastAsia="黑体"/>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642"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（一）项目概况</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根据《中共平凉市委办公室关于调整中共平凉市委机构编制委员会办公室职能配置内设机构和人员编制的</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lang w:eastAsia="zh-CN"/>
        </w:rPr>
        <w:t>》（平办字〔</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36号</w:t>
      </w:r>
      <w:r>
        <w:rPr>
          <w:rFonts w:hint="eastAsia" w:ascii="仿宋_GB2312" w:hAnsi="仿宋_GB2312" w:eastAsia="仿宋_GB2312" w:cs="仿宋_GB2312"/>
          <w:sz w:val="32"/>
          <w:szCs w:val="32"/>
          <w:lang w:eastAsia="zh-CN"/>
        </w:rPr>
        <w:t>）文件精神，市委编办承担市委机构编制委员会日常工作。</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按照省</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编</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和市委、</w:t>
      </w:r>
      <w:r>
        <w:rPr>
          <w:rFonts w:hint="eastAsia" w:ascii="仿宋_GB2312" w:hAnsi="仿宋_GB2312" w:eastAsia="仿宋_GB2312" w:cs="仿宋_GB2312"/>
          <w:sz w:val="32"/>
          <w:szCs w:val="32"/>
          <w:lang w:eastAsia="zh-CN"/>
        </w:rPr>
        <w:t>市委编委</w:t>
      </w:r>
      <w:r>
        <w:rPr>
          <w:rFonts w:hint="eastAsia" w:ascii="仿宋_GB2312" w:hAnsi="仿宋_GB2312" w:eastAsia="仿宋_GB2312" w:cs="仿宋_GB2312"/>
          <w:sz w:val="32"/>
          <w:szCs w:val="32"/>
        </w:rPr>
        <w:t>统一部署，</w:t>
      </w:r>
      <w:r>
        <w:rPr>
          <w:rFonts w:hint="eastAsia" w:ascii="仿宋_GB2312" w:hAnsi="仿宋_GB2312" w:eastAsia="仿宋_GB2312" w:cs="仿宋_GB2312"/>
          <w:sz w:val="32"/>
          <w:szCs w:val="32"/>
          <w:lang w:val="en-US" w:eastAsia="zh-CN"/>
        </w:rPr>
        <w:t>我办立项实施机构编制管理项目7项，项目资金共计43</w:t>
      </w:r>
      <w:r>
        <w:rPr>
          <w:rFonts w:hint="default"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lang w:val="en-US" w:eastAsia="zh-CN"/>
        </w:rPr>
        <w:t>元，其中：年初预算安排43万元，为市级财政拨款。截止2023年12月31日，项目经费支出24.56万元，结余资金已上交财政。</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642"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1.扎实推进机构编制法治建设，统筹推进重点行业领域体制机制改革等工作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2.持续深化全市事业单位编制“周转池”试点工作</w:t>
      </w:r>
      <w:r>
        <w:rPr>
          <w:rFonts w:hint="eastAsia" w:ascii="仿宋_GB2312" w:hAnsi="仿宋_GB2312" w:eastAsia="仿宋_GB2312" w:cs="仿宋_GB2312"/>
          <w:sz w:val="32"/>
          <w:szCs w:val="32"/>
          <w:lang w:eastAsia="zh-CN"/>
        </w:rPr>
        <w:t>，研究解决教育、卫生等重要民生行业领域编制不足的问题；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3.做好机构编制实名制管理系统日常维护和电子编制证的推广使用工作；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做好党政机关事业单位网上名称管理工作；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lang w:eastAsia="zh-CN"/>
        </w:rPr>
        <w:t>事业单位法人设立、变更、注销等工作；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6.定期开展机构编制事项监督检查</w:t>
      </w:r>
      <w:r>
        <w:rPr>
          <w:rFonts w:hint="eastAsia" w:ascii="仿宋_GB2312" w:hAnsi="仿宋_GB2312" w:eastAsia="仿宋_GB2312" w:cs="仿宋_GB2312"/>
          <w:sz w:val="32"/>
          <w:szCs w:val="32"/>
          <w:lang w:eastAsia="zh-CN"/>
        </w:rPr>
        <w:t>和调查研究</w:t>
      </w:r>
      <w:r>
        <w:rPr>
          <w:rFonts w:hint="eastAsia" w:ascii="仿宋_GB2312" w:hAnsi="仿宋_GB2312" w:eastAsia="仿宋_GB2312" w:cs="仿宋_GB2312"/>
          <w:sz w:val="32"/>
          <w:szCs w:val="32"/>
          <w:lang w:val="en-US" w:eastAsia="zh-CN"/>
        </w:rPr>
        <w:t>，不断提升法治建设水平和资源配置效率。</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二、绩效评价工作情况</w:t>
      </w:r>
    </w:p>
    <w:p>
      <w:pPr>
        <w:keepNext w:val="0"/>
        <w:keepLines w:val="0"/>
        <w:pageBreakBefore w:val="0"/>
        <w:widowControl w:val="0"/>
        <w:kinsoku/>
        <w:wordWrap/>
        <w:overflowPunct/>
        <w:topLinePunct w:val="0"/>
        <w:autoSpaceDE w:val="0"/>
        <w:autoSpaceDN w:val="0"/>
        <w:bidi w:val="0"/>
        <w:adjustRightInd/>
        <w:snapToGrid/>
        <w:spacing w:line="500" w:lineRule="exact"/>
        <w:ind w:firstLine="642"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（一）评价目的</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财政支出绩效评价是从深化部门预算改革和加强预算绩效管理的实际需要出发，通过科学合理的方法，客观公正地评价财政资金使用的规范性、经济性、效率性和效益性，是强化部门预算支出责任、改善财政支出管理、优化资源配置以及提高公共服务水平的重要手段。</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SA"/>
        </w:rPr>
        <w:t>我办开展2023年度市级预算项目支出绩效自评工作的目的，主要是通过对项目各项绩效指标完成情况的全面检查和综合分析，客观公正地评价项目的实施绩效，积极推动我办财政项目支出绩效管理工作不断完善，确保全市机构编制工作高质量发展。</w:t>
      </w:r>
    </w:p>
    <w:p>
      <w:pPr>
        <w:keepNext w:val="0"/>
        <w:keepLines w:val="0"/>
        <w:pageBreakBefore w:val="0"/>
        <w:widowControl w:val="0"/>
        <w:kinsoku/>
        <w:wordWrap/>
        <w:overflowPunct/>
        <w:topLinePunct w:val="0"/>
        <w:autoSpaceDE w:val="0"/>
        <w:autoSpaceDN w:val="0"/>
        <w:bidi w:val="0"/>
        <w:adjustRightInd/>
        <w:snapToGrid/>
        <w:spacing w:line="500" w:lineRule="exact"/>
        <w:ind w:firstLine="642"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（二）评价对象及范围</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本次绩效自评</w:t>
      </w:r>
      <w:r>
        <w:rPr>
          <w:rFonts w:hint="eastAsia" w:ascii="仿宋_GB2312" w:hAnsi="仿宋_GB2312" w:eastAsia="仿宋_GB2312" w:cs="仿宋_GB2312"/>
          <w:sz w:val="32"/>
          <w:szCs w:val="32"/>
          <w:lang w:eastAsia="zh-CN"/>
        </w:rPr>
        <w:t>以绩效目标为导向，以绩效监控为主线，以绩效评价为手段，以结果应用为保障，以改进预算管理、优化资源配置、控制节约成本、提高</w:t>
      </w:r>
      <w:r>
        <w:rPr>
          <w:rFonts w:hint="eastAsia" w:ascii="仿宋_GB2312" w:hAnsi="仿宋_GB2312" w:eastAsia="仿宋_GB2312" w:cs="仿宋_GB2312"/>
          <w:sz w:val="32"/>
          <w:szCs w:val="32"/>
          <w:lang w:val="en-US" w:eastAsia="zh-CN"/>
        </w:rPr>
        <w:t>机构编制管理服务</w:t>
      </w:r>
      <w:r>
        <w:rPr>
          <w:rFonts w:hint="eastAsia" w:ascii="仿宋_GB2312" w:hAnsi="仿宋_GB2312" w:eastAsia="仿宋_GB2312" w:cs="仿宋_GB2312"/>
          <w:sz w:val="32"/>
          <w:szCs w:val="32"/>
          <w:lang w:eastAsia="zh-CN"/>
        </w:rPr>
        <w:t>水平为目的，覆盖所有财政拨款资金，贯穿预算编制、执行、监督全过程。</w:t>
      </w:r>
    </w:p>
    <w:p>
      <w:pPr>
        <w:keepNext w:val="0"/>
        <w:keepLines w:val="0"/>
        <w:pageBreakBefore w:val="0"/>
        <w:widowControl w:val="0"/>
        <w:kinsoku/>
        <w:wordWrap/>
        <w:overflowPunct/>
        <w:topLinePunct w:val="0"/>
        <w:autoSpaceDE w:val="0"/>
        <w:autoSpaceDN w:val="0"/>
        <w:bidi w:val="0"/>
        <w:adjustRightInd/>
        <w:snapToGrid/>
        <w:spacing w:line="500" w:lineRule="exact"/>
        <w:ind w:firstLine="642"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（三）评价依据</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中共中央、国务院《关于全面实施预算绩效管理的意见》(中发〔2018〕34号)；</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中共甘肃省委、甘肃省人民政府《关于全面实施预算绩效管理的实施意见》（甘发〔2018〕32号）；</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中共平凉市委、平凉市人民政府《关于全面实施预算绩效管理的实施意见》（平发〔2019〕5号）；</w:t>
      </w:r>
    </w:p>
    <w:p>
      <w:pPr>
        <w:keepNext w:val="0"/>
        <w:keepLines w:val="0"/>
        <w:pageBreakBefore w:val="0"/>
        <w:kinsoku/>
        <w:wordWrap/>
        <w:overflowPunct/>
        <w:topLinePunct w:val="0"/>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4.平凉市财政局《</w:t>
      </w:r>
      <w:r>
        <w:rPr>
          <w:rFonts w:hint="eastAsia" w:ascii="仿宋_GB2312" w:hAnsi="仿宋_GB2312" w:eastAsia="仿宋_GB2312" w:cs="仿宋_GB2312"/>
          <w:sz w:val="32"/>
          <w:szCs w:val="32"/>
        </w:rPr>
        <w:t>平凉市市级预算绩效管理实施办法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平财发〔2019〕1号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642"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（四）评价原则及方法</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评价原则：科学规范、公开公正、绩效相关、责任追究；</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评价体系：产出指标、效益指标、满意度指标等；</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评价方法：主要采用单位自评；</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评价标准：15项指标。</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sz w:val="32"/>
          <w:szCs w:val="32"/>
        </w:rPr>
        <w:t>三、</w:t>
      </w:r>
      <w:r>
        <w:rPr>
          <w:rFonts w:hint="eastAsia" w:ascii="黑体" w:hAnsi="黑体" w:eastAsia="黑体" w:cs="黑体"/>
          <w:b w:val="0"/>
          <w:bCs/>
          <w:sz w:val="32"/>
          <w:szCs w:val="32"/>
        </w:rPr>
        <w:t>综合评价情况及评价结论</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绩效评价，我办高度重视，安排专人负责，严格按照市财政局相关文件规定，收集资料进行自评，整体评价工作坚持科学规范、公正公开的原则，采用定量与定性、自评相结合的方式开展。整体上看，我办项目资金主要用于深化体制机制改革工作，机构编制资源管理科学规范，为全市经济社会高质量发展提供了有力保障；项目经费的使用上，在保证各项任务顺利完成的同时，严格落实厉行节约的原则。</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从</w:t>
      </w:r>
      <w:r>
        <w:rPr>
          <w:rFonts w:hint="eastAsia" w:ascii="仿宋_GB2312" w:hAnsi="仿宋_GB2312" w:eastAsia="仿宋_GB2312" w:cs="仿宋_GB2312"/>
          <w:b w:val="0"/>
          <w:bCs w:val="0"/>
          <w:kern w:val="0"/>
          <w:sz w:val="32"/>
          <w:szCs w:val="32"/>
          <w:lang w:val="en-US" w:eastAsia="zh-CN" w:bidi="ar-SA"/>
        </w:rPr>
        <w:t>结果上看，我办顺利完成了2</w:t>
      </w:r>
      <w:r>
        <w:rPr>
          <w:rFonts w:hint="eastAsia" w:ascii="仿宋_GB2312" w:hAnsi="仿宋_GB2312" w:eastAsia="仿宋_GB2312" w:cs="仿宋_GB2312"/>
          <w:b w:val="0"/>
          <w:bCs w:val="0"/>
          <w:kern w:val="0"/>
          <w:sz w:val="32"/>
          <w:szCs w:val="32"/>
          <w:lang w:val="en" w:eastAsia="zh-CN" w:bidi="ar-SA"/>
        </w:rPr>
        <w:t>02</w:t>
      </w:r>
      <w:r>
        <w:rPr>
          <w:rFonts w:hint="eastAsia" w:ascii="仿宋_GB2312" w:hAnsi="仿宋_GB2312" w:eastAsia="仿宋_GB2312" w:cs="仿宋_GB2312"/>
          <w:b w:val="0"/>
          <w:bCs w:val="0"/>
          <w:kern w:val="0"/>
          <w:sz w:val="32"/>
          <w:szCs w:val="32"/>
          <w:lang w:val="en-US" w:eastAsia="zh-CN" w:bidi="ar-SA"/>
        </w:rPr>
        <w:t>3年资金使用目标，产出指标、效益指标和满意度指标均达到了目标要求，评价等级为“优秀”。</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四、主要经验及做法、存在的问题和建议</w:t>
      </w:r>
    </w:p>
    <w:p>
      <w:pPr>
        <w:keepNext w:val="0"/>
        <w:keepLines w:val="0"/>
        <w:pageBreakBefore w:val="0"/>
        <w:widowControl/>
        <w:suppressLineNumbers w:val="0"/>
        <w:kinsoku/>
        <w:wordWrap/>
        <w:overflowPunct/>
        <w:topLinePunct w:val="0"/>
        <w:bidi w:val="0"/>
        <w:adjustRightInd/>
        <w:snapToGrid/>
        <w:spacing w:line="50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2023年，我办绩效管理取得了一定成效。但还存在一些问题，主要表现在：工作人员业务水平还不能满足预算绩效管理工作的新形势新要求，导致预算绩效管理工作和预算绩效评价质量还不够高，预算绩效管理基础工作有待进一步加强。下一步，我办将加强对单位预算绩效管理人员的教育培训，切实提升绩效评价人员的业务水平。同时，进一步提高单位具体项目承办科室对预算绩效管理工作的参与度，不断在预算绩效管理精细化上下功夫。</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640" w:firstLineChars="200"/>
        <w:jc w:val="left"/>
        <w:textAlignment w:val="auto"/>
        <w:rPr>
          <w:rFonts w:ascii="黑体" w:hAnsi="黑体" w:eastAsia="黑体"/>
          <w:sz w:val="32"/>
          <w:szCs w:val="32"/>
        </w:rPr>
      </w:pPr>
      <w:r>
        <w:rPr>
          <w:rFonts w:hint="eastAsia" w:ascii="黑体" w:hAnsi="黑体" w:eastAsia="黑体"/>
          <w:sz w:val="32"/>
          <w:szCs w:val="32"/>
          <w:lang w:eastAsia="zh-CN"/>
        </w:rPr>
        <w:t>五、绩效自评表</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sz w:val="30"/>
          <w:szCs w:val="30"/>
          <w:lang w:eastAsia="zh-CN"/>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sz w:val="30"/>
          <w:szCs w:val="30"/>
          <w:lang w:eastAsia="zh-CN"/>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sz w:val="30"/>
          <w:szCs w:val="30"/>
          <w:lang w:eastAsia="zh-CN"/>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sz w:val="30"/>
          <w:szCs w:val="30"/>
        </w:rPr>
      </w:pPr>
      <w:r>
        <w:rPr>
          <w:rFonts w:hint="eastAsia" w:ascii="宋体" w:hAnsi="宋体" w:eastAsia="宋体" w:cs="宋体"/>
          <w:b/>
          <w:bCs/>
          <w:sz w:val="30"/>
          <w:szCs w:val="30"/>
          <w:lang w:eastAsia="zh-CN"/>
        </w:rPr>
        <w:t>市级预算项目支出绩效自评表</w:t>
      </w:r>
    </w:p>
    <w:p>
      <w:pPr>
        <w:keepNext w:val="0"/>
        <w:keepLines w:val="0"/>
        <w:pageBreakBefore w:val="0"/>
        <w:widowControl w:val="0"/>
        <w:kinsoku/>
        <w:wordWrap/>
        <w:overflowPunct/>
        <w:topLinePunct w:val="0"/>
        <w:autoSpaceDE w:val="0"/>
        <w:autoSpaceDN w:val="0"/>
        <w:bidi w:val="0"/>
        <w:adjustRightInd/>
        <w:snapToGrid/>
        <w:spacing w:line="300" w:lineRule="exact"/>
        <w:ind w:right="1927" w:firstLine="3680" w:firstLineChars="1600"/>
        <w:jc w:val="both"/>
        <w:textAlignment w:val="auto"/>
        <w:rPr>
          <w:rFonts w:ascii="宋体" w:hAnsi="宋体" w:eastAsia="宋体"/>
          <w:sz w:val="23"/>
        </w:rPr>
      </w:pPr>
      <w:r>
        <w:rPr>
          <w:rFonts w:hint="eastAsia" w:ascii="宋体" w:hAnsi="宋体" w:eastAsia="宋体"/>
          <w:sz w:val="23"/>
        </w:rPr>
        <w:t>（20</w:t>
      </w:r>
      <w:r>
        <w:rPr>
          <w:rFonts w:hint="eastAsia" w:ascii="宋体" w:hAnsi="宋体" w:eastAsia="宋体"/>
          <w:sz w:val="23"/>
          <w:lang w:val="en-US" w:eastAsia="zh-CN"/>
        </w:rPr>
        <w:t>23</w:t>
      </w:r>
      <w:r>
        <w:rPr>
          <w:rFonts w:hint="eastAsia" w:ascii="宋体" w:hAnsi="宋体" w:eastAsia="宋体"/>
          <w:sz w:val="23"/>
        </w:rPr>
        <w:t>年度）</w:t>
      </w:r>
    </w:p>
    <w:tbl>
      <w:tblPr>
        <w:tblStyle w:val="10"/>
        <w:tblpPr w:leftFromText="180" w:rightFromText="180" w:vertAnchor="text" w:horzAnchor="page" w:tblpX="1247" w:tblpY="123"/>
        <w:tblOverlap w:val="never"/>
        <w:tblW w:w="96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847"/>
        <w:gridCol w:w="683"/>
        <w:gridCol w:w="847"/>
        <w:gridCol w:w="1162"/>
        <w:gridCol w:w="222"/>
        <w:gridCol w:w="1028"/>
        <w:gridCol w:w="949"/>
        <w:gridCol w:w="649"/>
        <w:gridCol w:w="84"/>
        <w:gridCol w:w="752"/>
        <w:gridCol w:w="92"/>
        <w:gridCol w:w="650"/>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42"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项目名称</w:t>
            </w:r>
          </w:p>
        </w:tc>
        <w:tc>
          <w:tcPr>
            <w:tcW w:w="8337" w:type="dxa"/>
            <w:gridSpan w:val="1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机构编制专项工作经费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42"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主管部门</w:t>
            </w:r>
          </w:p>
        </w:tc>
        <w:tc>
          <w:tcPr>
            <w:tcW w:w="3942" w:type="dxa"/>
            <w:gridSpan w:val="5"/>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中共平凉市委机构编制委员会办公室</w:t>
            </w:r>
          </w:p>
        </w:tc>
        <w:tc>
          <w:tcPr>
            <w:tcW w:w="1598"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实施单位</w:t>
            </w:r>
          </w:p>
        </w:tc>
        <w:tc>
          <w:tcPr>
            <w:tcW w:w="2797" w:type="dxa"/>
            <w:gridSpan w:val="5"/>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cs="宋体"/>
                <w:b w:val="0"/>
                <w:bCs w:val="0"/>
                <w:sz w:val="13"/>
                <w:szCs w:val="13"/>
                <w:lang w:eastAsia="zh-CN"/>
              </w:rPr>
              <w:t>中共平凉市委机构编制委员会办公室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42" w:type="dxa"/>
            <w:gridSpan w:val="2"/>
            <w:vMerge w:val="restart"/>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before="7"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ind w:left="52"/>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项目资金（万元）</w:t>
            </w:r>
          </w:p>
        </w:tc>
        <w:tc>
          <w:tcPr>
            <w:tcW w:w="1530"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162" w:type="dxa"/>
          </w:tcPr>
          <w:p>
            <w:pPr>
              <w:pStyle w:val="12"/>
              <w:keepNext w:val="0"/>
              <w:keepLines w:val="0"/>
              <w:pageBreakBefore w:val="0"/>
              <w:widowControl w:val="0"/>
              <w:kinsoku/>
              <w:wordWrap/>
              <w:overflowPunct/>
              <w:topLinePunct w:val="0"/>
              <w:autoSpaceDE w:val="0"/>
              <w:autoSpaceDN w:val="0"/>
              <w:bidi w:val="0"/>
              <w:adjustRightInd/>
              <w:snapToGrid/>
              <w:spacing w:before="115" w:line="150" w:lineRule="exact"/>
              <w:ind w:left="186"/>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年初预算数</w:t>
            </w:r>
          </w:p>
        </w:tc>
        <w:tc>
          <w:tcPr>
            <w:tcW w:w="1250" w:type="dxa"/>
            <w:gridSpan w:val="2"/>
          </w:tcPr>
          <w:p>
            <w:pPr>
              <w:pStyle w:val="12"/>
              <w:keepNext w:val="0"/>
              <w:keepLines w:val="0"/>
              <w:pageBreakBefore w:val="0"/>
              <w:widowControl w:val="0"/>
              <w:kinsoku/>
              <w:wordWrap/>
              <w:overflowPunct/>
              <w:topLinePunct w:val="0"/>
              <w:autoSpaceDE w:val="0"/>
              <w:autoSpaceDN w:val="0"/>
              <w:bidi w:val="0"/>
              <w:adjustRightInd/>
              <w:snapToGrid/>
              <w:spacing w:before="115" w:line="150" w:lineRule="exact"/>
              <w:ind w:left="227"/>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全年预算数</w:t>
            </w:r>
          </w:p>
        </w:tc>
        <w:tc>
          <w:tcPr>
            <w:tcW w:w="1598" w:type="dxa"/>
            <w:gridSpan w:val="2"/>
          </w:tcPr>
          <w:p>
            <w:pPr>
              <w:pStyle w:val="12"/>
              <w:keepNext w:val="0"/>
              <w:keepLines w:val="0"/>
              <w:pageBreakBefore w:val="0"/>
              <w:widowControl w:val="0"/>
              <w:kinsoku/>
              <w:wordWrap/>
              <w:overflowPunct/>
              <w:topLinePunct w:val="0"/>
              <w:autoSpaceDE w:val="0"/>
              <w:autoSpaceDN w:val="0"/>
              <w:bidi w:val="0"/>
              <w:adjustRightInd/>
              <w:snapToGrid/>
              <w:spacing w:before="115" w:line="150" w:lineRule="exact"/>
              <w:ind w:left="401"/>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全年执行数</w:t>
            </w:r>
          </w:p>
        </w:tc>
        <w:tc>
          <w:tcPr>
            <w:tcW w:w="836" w:type="dxa"/>
            <w:gridSpan w:val="2"/>
          </w:tcPr>
          <w:p>
            <w:pPr>
              <w:pStyle w:val="12"/>
              <w:keepNext w:val="0"/>
              <w:keepLines w:val="0"/>
              <w:pageBreakBefore w:val="0"/>
              <w:widowControl w:val="0"/>
              <w:kinsoku/>
              <w:wordWrap/>
              <w:overflowPunct/>
              <w:topLinePunct w:val="0"/>
              <w:autoSpaceDE w:val="0"/>
              <w:autoSpaceDN w:val="0"/>
              <w:bidi w:val="0"/>
              <w:adjustRightInd/>
              <w:snapToGrid/>
              <w:spacing w:before="115" w:line="150" w:lineRule="exact"/>
              <w:ind w:left="254"/>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分值</w:t>
            </w:r>
          </w:p>
        </w:tc>
        <w:tc>
          <w:tcPr>
            <w:tcW w:w="742" w:type="dxa"/>
            <w:gridSpan w:val="2"/>
          </w:tcPr>
          <w:p>
            <w:pPr>
              <w:pStyle w:val="12"/>
              <w:keepNext w:val="0"/>
              <w:keepLines w:val="0"/>
              <w:pageBreakBefore w:val="0"/>
              <w:widowControl w:val="0"/>
              <w:kinsoku/>
              <w:wordWrap/>
              <w:overflowPunct/>
              <w:topLinePunct w:val="0"/>
              <w:autoSpaceDE w:val="0"/>
              <w:autoSpaceDN w:val="0"/>
              <w:bidi w:val="0"/>
              <w:adjustRightInd/>
              <w:snapToGrid/>
              <w:spacing w:before="115" w:line="150" w:lineRule="exact"/>
              <w:ind w:left="139"/>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执行率</w:t>
            </w:r>
          </w:p>
        </w:tc>
        <w:tc>
          <w:tcPr>
            <w:tcW w:w="1219" w:type="dxa"/>
          </w:tcPr>
          <w:p>
            <w:pPr>
              <w:pStyle w:val="12"/>
              <w:keepNext w:val="0"/>
              <w:keepLines w:val="0"/>
              <w:pageBreakBefore w:val="0"/>
              <w:widowControl w:val="0"/>
              <w:kinsoku/>
              <w:wordWrap/>
              <w:overflowPunct/>
              <w:topLinePunct w:val="0"/>
              <w:autoSpaceDE w:val="0"/>
              <w:autoSpaceDN w:val="0"/>
              <w:bidi w:val="0"/>
              <w:adjustRightInd/>
              <w:snapToGrid/>
              <w:spacing w:before="115" w:line="150" w:lineRule="exact"/>
              <w:ind w:right="423"/>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5"/>
                <w:sz w:val="13"/>
                <w:szCs w:val="13"/>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42" w:type="dxa"/>
            <w:gridSpan w:val="2"/>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530"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ind w:left="28"/>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ind w:left="28"/>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年度资金总额</w:t>
            </w:r>
          </w:p>
        </w:tc>
        <w:tc>
          <w:tcPr>
            <w:tcW w:w="1162" w:type="dxa"/>
            <w:vAlign w:val="bottom"/>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43</w:t>
            </w:r>
          </w:p>
        </w:tc>
        <w:tc>
          <w:tcPr>
            <w:tcW w:w="1250" w:type="dxa"/>
            <w:gridSpan w:val="2"/>
            <w:vAlign w:val="bottom"/>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43</w:t>
            </w:r>
          </w:p>
        </w:tc>
        <w:tc>
          <w:tcPr>
            <w:tcW w:w="1598" w:type="dxa"/>
            <w:gridSpan w:val="2"/>
            <w:vAlign w:val="bottom"/>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24.56</w:t>
            </w:r>
          </w:p>
        </w:tc>
        <w:tc>
          <w:tcPr>
            <w:tcW w:w="836"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ind w:left="307" w:right="299"/>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10</w:t>
            </w:r>
          </w:p>
        </w:tc>
        <w:tc>
          <w:tcPr>
            <w:tcW w:w="742"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57%</w:t>
            </w:r>
          </w:p>
        </w:tc>
        <w:tc>
          <w:tcPr>
            <w:tcW w:w="121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ind w:firstLine="260" w:firstLineChars="200"/>
              <w:jc w:val="left"/>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42" w:type="dxa"/>
            <w:gridSpan w:val="2"/>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530"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ind w:left="69"/>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ind w:left="69"/>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其中：当年财政拨款</w:t>
            </w:r>
          </w:p>
        </w:tc>
        <w:tc>
          <w:tcPr>
            <w:tcW w:w="1162" w:type="dxa"/>
            <w:vAlign w:val="bottom"/>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43</w:t>
            </w:r>
          </w:p>
        </w:tc>
        <w:tc>
          <w:tcPr>
            <w:tcW w:w="1250" w:type="dxa"/>
            <w:gridSpan w:val="2"/>
            <w:vAlign w:val="bottom"/>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43</w:t>
            </w:r>
          </w:p>
        </w:tc>
        <w:tc>
          <w:tcPr>
            <w:tcW w:w="1598" w:type="dxa"/>
            <w:gridSpan w:val="2"/>
            <w:vAlign w:val="bottom"/>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24.56</w:t>
            </w:r>
          </w:p>
        </w:tc>
        <w:tc>
          <w:tcPr>
            <w:tcW w:w="836"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ind w:left="8"/>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8"/>
                <w:sz w:val="13"/>
                <w:szCs w:val="13"/>
              </w:rPr>
              <w:t>—</w:t>
            </w:r>
          </w:p>
        </w:tc>
        <w:tc>
          <w:tcPr>
            <w:tcW w:w="742"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ascii="宋体" w:hAnsi="宋体" w:eastAsia="宋体" w:cs="宋体"/>
                <w:b w:val="0"/>
                <w:bCs w:val="0"/>
                <w:sz w:val="13"/>
                <w:szCs w:val="13"/>
                <w:lang w:val="en-US" w:eastAsia="zh-CN"/>
              </w:rPr>
              <w:t>57%</w:t>
            </w:r>
          </w:p>
        </w:tc>
        <w:tc>
          <w:tcPr>
            <w:tcW w:w="1219" w:type="dxa"/>
          </w:tcPr>
          <w:p>
            <w:pPr>
              <w:pStyle w:val="12"/>
              <w:keepNext w:val="0"/>
              <w:keepLines w:val="0"/>
              <w:pageBreakBefore w:val="0"/>
              <w:widowControl w:val="0"/>
              <w:kinsoku/>
              <w:wordWrap/>
              <w:overflowPunct/>
              <w:topLinePunct w:val="0"/>
              <w:autoSpaceDE w:val="0"/>
              <w:autoSpaceDN w:val="0"/>
              <w:bidi w:val="0"/>
              <w:adjustRightInd/>
              <w:snapToGrid/>
              <w:spacing w:line="150" w:lineRule="exact"/>
              <w:ind w:right="497"/>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8"/>
                <w:sz w:val="13"/>
                <w:szCs w:val="1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42" w:type="dxa"/>
            <w:gridSpan w:val="2"/>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530"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ind w:left="515"/>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ind w:left="515"/>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上年结转资金</w:t>
            </w:r>
          </w:p>
        </w:tc>
        <w:tc>
          <w:tcPr>
            <w:tcW w:w="1162" w:type="dxa"/>
            <w:vAlign w:val="bottom"/>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p>
        </w:tc>
        <w:tc>
          <w:tcPr>
            <w:tcW w:w="1250" w:type="dxa"/>
            <w:gridSpan w:val="2"/>
            <w:vAlign w:val="bottom"/>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p>
        </w:tc>
        <w:tc>
          <w:tcPr>
            <w:tcW w:w="1598" w:type="dxa"/>
            <w:gridSpan w:val="2"/>
            <w:vAlign w:val="bottom"/>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p>
        </w:tc>
        <w:tc>
          <w:tcPr>
            <w:tcW w:w="836"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ind w:left="8"/>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8"/>
                <w:sz w:val="13"/>
                <w:szCs w:val="13"/>
              </w:rPr>
              <w:t>—</w:t>
            </w:r>
          </w:p>
        </w:tc>
        <w:tc>
          <w:tcPr>
            <w:tcW w:w="742"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both"/>
              <w:textAlignment w:val="auto"/>
              <w:rPr>
                <w:rFonts w:hint="default" w:ascii="宋体" w:hAnsi="宋体" w:eastAsia="宋体" w:cs="宋体"/>
                <w:b w:val="0"/>
                <w:bCs w:val="0"/>
                <w:sz w:val="13"/>
                <w:szCs w:val="13"/>
                <w:lang w:val="en-US" w:eastAsia="zh-CN"/>
              </w:rPr>
            </w:pPr>
          </w:p>
        </w:tc>
        <w:tc>
          <w:tcPr>
            <w:tcW w:w="1219" w:type="dxa"/>
          </w:tcPr>
          <w:p>
            <w:pPr>
              <w:pStyle w:val="12"/>
              <w:keepNext w:val="0"/>
              <w:keepLines w:val="0"/>
              <w:pageBreakBefore w:val="0"/>
              <w:widowControl w:val="0"/>
              <w:kinsoku/>
              <w:wordWrap/>
              <w:overflowPunct/>
              <w:topLinePunct w:val="0"/>
              <w:autoSpaceDE w:val="0"/>
              <w:autoSpaceDN w:val="0"/>
              <w:bidi w:val="0"/>
              <w:adjustRightInd/>
              <w:snapToGrid/>
              <w:spacing w:line="150" w:lineRule="exact"/>
              <w:ind w:right="497"/>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8"/>
                <w:sz w:val="13"/>
                <w:szCs w:val="1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42" w:type="dxa"/>
            <w:gridSpan w:val="2"/>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530"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ind w:left="515"/>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ind w:left="515"/>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其他资金</w:t>
            </w:r>
          </w:p>
        </w:tc>
        <w:tc>
          <w:tcPr>
            <w:tcW w:w="1162" w:type="dxa"/>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250"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598"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36"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ind w:left="8"/>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8"/>
                <w:sz w:val="13"/>
                <w:szCs w:val="13"/>
              </w:rPr>
              <w:t>—</w:t>
            </w:r>
          </w:p>
        </w:tc>
        <w:tc>
          <w:tcPr>
            <w:tcW w:w="742"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219" w:type="dxa"/>
          </w:tcPr>
          <w:p>
            <w:pPr>
              <w:pStyle w:val="12"/>
              <w:keepNext w:val="0"/>
              <w:keepLines w:val="0"/>
              <w:pageBreakBefore w:val="0"/>
              <w:widowControl w:val="0"/>
              <w:kinsoku/>
              <w:wordWrap/>
              <w:overflowPunct/>
              <w:topLinePunct w:val="0"/>
              <w:autoSpaceDE w:val="0"/>
              <w:autoSpaceDN w:val="0"/>
              <w:bidi w:val="0"/>
              <w:adjustRightInd/>
              <w:snapToGrid/>
              <w:spacing w:line="150" w:lineRule="exact"/>
              <w:ind w:right="497"/>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8"/>
                <w:sz w:val="13"/>
                <w:szCs w:val="1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95" w:type="dxa"/>
            <w:vMerge w:val="restart"/>
          </w:tcPr>
          <w:p>
            <w:pPr>
              <w:pStyle w:val="12"/>
              <w:keepNext w:val="0"/>
              <w:keepLines w:val="0"/>
              <w:pageBreakBefore w:val="0"/>
              <w:widowControl w:val="0"/>
              <w:kinsoku/>
              <w:wordWrap/>
              <w:overflowPunct/>
              <w:topLinePunct w:val="0"/>
              <w:autoSpaceDE w:val="0"/>
              <w:autoSpaceDN w:val="0"/>
              <w:bidi w:val="0"/>
              <w:adjustRightInd/>
              <w:snapToGrid/>
              <w:spacing w:before="11"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ind w:left="85" w:right="83"/>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5"/>
                <w:sz w:val="13"/>
                <w:szCs w:val="13"/>
              </w:rPr>
              <w:t>年度总体目标</w:t>
            </w:r>
          </w:p>
        </w:tc>
        <w:tc>
          <w:tcPr>
            <w:tcW w:w="4789" w:type="dxa"/>
            <w:gridSpan w:val="6"/>
          </w:tcPr>
          <w:p>
            <w:pPr>
              <w:pStyle w:val="12"/>
              <w:keepNext w:val="0"/>
              <w:keepLines w:val="0"/>
              <w:pageBreakBefore w:val="0"/>
              <w:widowControl w:val="0"/>
              <w:kinsoku/>
              <w:wordWrap/>
              <w:overflowPunct/>
              <w:topLinePunct w:val="0"/>
              <w:autoSpaceDE w:val="0"/>
              <w:autoSpaceDN w:val="0"/>
              <w:bidi w:val="0"/>
              <w:adjustRightInd/>
              <w:snapToGrid/>
              <w:spacing w:line="150" w:lineRule="exact"/>
              <w:ind w:left="1983" w:right="1981"/>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ind w:left="1983" w:right="1981"/>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预期目标</w:t>
            </w:r>
          </w:p>
        </w:tc>
        <w:tc>
          <w:tcPr>
            <w:tcW w:w="4395" w:type="dxa"/>
            <w:gridSpan w:val="7"/>
          </w:tcPr>
          <w:p>
            <w:pPr>
              <w:pStyle w:val="12"/>
              <w:keepNext w:val="0"/>
              <w:keepLines w:val="0"/>
              <w:pageBreakBefore w:val="0"/>
              <w:widowControl w:val="0"/>
              <w:kinsoku/>
              <w:wordWrap/>
              <w:overflowPunct/>
              <w:topLinePunct w:val="0"/>
              <w:autoSpaceDE w:val="0"/>
              <w:autoSpaceDN w:val="0"/>
              <w:bidi w:val="0"/>
              <w:adjustRightInd/>
              <w:snapToGrid/>
              <w:spacing w:line="150" w:lineRule="exact"/>
              <w:ind w:left="1646" w:right="1637"/>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ind w:left="1646" w:right="1637"/>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4789" w:type="dxa"/>
            <w:gridSpan w:val="6"/>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both"/>
              <w:textAlignment w:val="auto"/>
              <w:rPr>
                <w:rFonts w:hint="eastAsia" w:asciiTheme="majorEastAsia" w:hAnsiTheme="majorEastAsia" w:eastAsiaTheme="majorEastAsia" w:cstheme="majorEastAsia"/>
                <w:b w:val="0"/>
                <w:bCs w:val="0"/>
                <w:sz w:val="13"/>
                <w:szCs w:val="13"/>
              </w:rPr>
            </w:pPr>
            <w:r>
              <w:rPr>
                <w:rFonts w:hint="eastAsia" w:asciiTheme="majorEastAsia" w:hAnsiTheme="majorEastAsia" w:eastAsiaTheme="majorEastAsia" w:cstheme="majorEastAsia"/>
                <w:b w:val="0"/>
                <w:bCs/>
                <w:sz w:val="13"/>
                <w:szCs w:val="13"/>
                <w:lang w:eastAsia="zh-CN"/>
              </w:rPr>
              <w:t>做好机构编制实名制管理系统日常维护、全市事业单位法人登记管理、市直机关事业单位网上名称管理等工作，实现全市机关事业单位电子编制证全覆盖。持续深化全市事业单位编制周转池试点工作，</w:t>
            </w:r>
            <w:r>
              <w:rPr>
                <w:rFonts w:hint="eastAsia" w:asciiTheme="majorEastAsia" w:hAnsiTheme="majorEastAsia" w:eastAsiaTheme="majorEastAsia" w:cstheme="majorEastAsia"/>
                <w:b w:val="0"/>
                <w:bCs/>
                <w:sz w:val="13"/>
                <w:szCs w:val="13"/>
                <w:lang w:val="en-US" w:eastAsia="zh-CN"/>
              </w:rPr>
              <w:t>统筹推进重点行业领域体制机制改革</w:t>
            </w:r>
            <w:r>
              <w:rPr>
                <w:rFonts w:hint="eastAsia" w:asciiTheme="majorEastAsia" w:hAnsiTheme="majorEastAsia" w:eastAsiaTheme="majorEastAsia" w:cstheme="majorEastAsia"/>
                <w:b w:val="0"/>
                <w:bCs/>
                <w:sz w:val="13"/>
                <w:szCs w:val="13"/>
                <w:lang w:eastAsia="zh-CN"/>
              </w:rPr>
              <w:t>，定期开展机构编制事项监督检查，</w:t>
            </w:r>
            <w:r>
              <w:rPr>
                <w:rFonts w:hint="eastAsia" w:asciiTheme="majorEastAsia" w:hAnsiTheme="majorEastAsia" w:eastAsiaTheme="majorEastAsia" w:cstheme="majorEastAsia"/>
                <w:b w:val="0"/>
                <w:bCs/>
                <w:sz w:val="13"/>
                <w:szCs w:val="13"/>
                <w:lang w:val="en-US" w:eastAsia="zh-CN"/>
              </w:rPr>
              <w:t>不断提升法治建设水平和资源配置效率，为全面建设社会主义现代化幸福美好新平凉提供坚实的机构编制保障。</w:t>
            </w:r>
          </w:p>
        </w:tc>
        <w:tc>
          <w:tcPr>
            <w:tcW w:w="4395" w:type="dxa"/>
            <w:gridSpan w:val="7"/>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both"/>
              <w:textAlignment w:val="auto"/>
              <w:rPr>
                <w:rFonts w:hint="eastAsia" w:asciiTheme="majorEastAsia" w:hAnsiTheme="majorEastAsia" w:eastAsiaTheme="majorEastAsia" w:cstheme="majorEastAsia"/>
                <w:b w:val="0"/>
                <w:bCs w:val="0"/>
                <w:sz w:val="13"/>
                <w:szCs w:val="13"/>
                <w:lang w:val="en-US" w:eastAsia="zh-CN"/>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both"/>
              <w:textAlignment w:val="auto"/>
              <w:rPr>
                <w:rFonts w:hint="eastAsia" w:asciiTheme="majorEastAsia" w:hAnsiTheme="majorEastAsia" w:eastAsiaTheme="majorEastAsia" w:cstheme="majorEastAsia"/>
                <w:b w:val="0"/>
                <w:bCs w:val="0"/>
                <w:sz w:val="13"/>
                <w:szCs w:val="13"/>
                <w:lang w:val="en-US" w:eastAsia="zh-CN"/>
              </w:rPr>
            </w:pPr>
            <w:r>
              <w:rPr>
                <w:rFonts w:hint="eastAsia" w:asciiTheme="majorEastAsia" w:hAnsiTheme="majorEastAsia" w:eastAsiaTheme="majorEastAsia" w:cstheme="majorEastAsia"/>
                <w:b w:val="0"/>
                <w:bCs w:val="0"/>
                <w:sz w:val="13"/>
                <w:szCs w:val="13"/>
                <w:lang w:val="en-US" w:eastAsia="zh-CN"/>
              </w:rPr>
              <w:t>2023年，市委编办在市委、市委编委的坚强领导下，深入学习贯彻习近平新时代中国特色社会主义思想和党的二十大精神，坚持和加强党对机构编制工作的集中统一领导，扎实推进重点领域体制机制改革和机构编制创新管理，铆足劲真抓实干、拉满弓奋力攻坚，各项工作实现新突破、取得新成效，为全市经济社会高质量发展提供了坚强有力的体制机制保障。</w:t>
            </w:r>
          </w:p>
          <w:p>
            <w:pPr>
              <w:pStyle w:val="12"/>
              <w:keepNext w:val="0"/>
              <w:keepLines w:val="0"/>
              <w:pageBreakBefore w:val="0"/>
              <w:widowControl w:val="0"/>
              <w:kinsoku/>
              <w:wordWrap/>
              <w:overflowPunct/>
              <w:topLinePunct w:val="0"/>
              <w:autoSpaceDE w:val="0"/>
              <w:autoSpaceDN w:val="0"/>
              <w:bidi w:val="0"/>
              <w:adjustRightInd/>
              <w:snapToGrid/>
              <w:spacing w:line="150" w:lineRule="exact"/>
              <w:jc w:val="both"/>
              <w:textAlignment w:val="auto"/>
              <w:rPr>
                <w:rFonts w:hint="eastAsia" w:asciiTheme="majorEastAsia" w:hAnsiTheme="majorEastAsia" w:eastAsiaTheme="majorEastAsia" w:cstheme="majorEastAsia"/>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495" w:type="dxa"/>
            <w:vMerge w:val="restart"/>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before="4"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before="1" w:line="150" w:lineRule="exact"/>
              <w:ind w:left="159" w:right="157"/>
              <w:jc w:val="center"/>
              <w:textAlignment w:val="auto"/>
              <w:rPr>
                <w:rFonts w:hint="eastAsia" w:ascii="宋体" w:hAnsi="宋体" w:eastAsia="宋体" w:cs="宋体"/>
                <w:b w:val="0"/>
                <w:bCs w:val="0"/>
                <w:sz w:val="13"/>
                <w:szCs w:val="13"/>
              </w:rPr>
            </w:pPr>
            <w:r>
              <w:rPr>
                <w:sz w:val="13"/>
              </w:rPr>
              <mc:AlternateContent>
                <mc:Choice Requires="wps">
                  <w:drawing>
                    <wp:anchor distT="0" distB="0" distL="114300" distR="114300" simplePos="0" relativeHeight="251660288" behindDoc="0" locked="0" layoutInCell="1" allowOverlap="1">
                      <wp:simplePos x="0" y="0"/>
                      <wp:positionH relativeFrom="column">
                        <wp:posOffset>309245</wp:posOffset>
                      </wp:positionH>
                      <wp:positionV relativeFrom="paragraph">
                        <wp:posOffset>1371600</wp:posOffset>
                      </wp:positionV>
                      <wp:extent cx="546100" cy="1270"/>
                      <wp:effectExtent l="0" t="0" r="0" b="0"/>
                      <wp:wrapNone/>
                      <wp:docPr id="2" name="直接连接符 2"/>
                      <wp:cNvGraphicFramePr/>
                      <a:graphic xmlns:a="http://schemas.openxmlformats.org/drawingml/2006/main">
                        <a:graphicData uri="http://schemas.microsoft.com/office/word/2010/wordprocessingShape">
                          <wps:wsp>
                            <wps:cNvCnPr/>
                            <wps:spPr>
                              <a:xfrm flipV="1">
                                <a:off x="1109980" y="5837555"/>
                                <a:ext cx="546100" cy="1270"/>
                              </a:xfrm>
                              <a:prstGeom prst="line">
                                <a:avLst/>
                              </a:prstGeom>
                              <a:ln w="508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4.35pt;margin-top:108pt;height:0.1pt;width:43pt;z-index:251660288;mso-width-relative:page;mso-height-relative:page;" filled="f" stroked="t" coordsize="21600,21600" o:gfxdata="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hHlSh2gAAAAoBAAAPAAAAAAAA&#10;AAEAIAAAADgAAABkcnMvZG93bnJldi54bWxQSwECFAAUAAAACACHTuJAbRu/UfoBAADJAwAADgAA&#10;AAAAAAABACAAAAA/AQAAZHJzL2Uyb0RvYy54bWxQSwUGAAAAAAYABgBZAQAAqwUAAAAA&#10;">
                      <v:fill on="f" focussize="0,0"/>
                      <v:stroke weight="0.4pt" color="#000000 [3213]" miterlimit="8" joinstyle="miter"/>
                      <v:imagedata o:title=""/>
                      <o:lock v:ext="edit" aspectratio="f"/>
                    </v:line>
                  </w:pict>
                </mc:Fallback>
              </mc:AlternateContent>
            </w:r>
            <w:r>
              <w:rPr>
                <w:rFonts w:hint="eastAsia" w:ascii="宋体" w:hAnsi="宋体" w:eastAsia="宋体" w:cs="宋体"/>
                <w:b w:val="0"/>
                <w:bCs w:val="0"/>
                <w:sz w:val="13"/>
                <w:szCs w:val="13"/>
              </w:rPr>
              <w:t>绩效指标</w:t>
            </w:r>
          </w:p>
        </w:tc>
        <w:tc>
          <w:tcPr>
            <w:tcW w:w="847" w:type="dxa"/>
          </w:tcPr>
          <w:p>
            <w:pPr>
              <w:pStyle w:val="12"/>
              <w:keepNext w:val="0"/>
              <w:keepLines w:val="0"/>
              <w:pageBreakBefore w:val="0"/>
              <w:widowControl w:val="0"/>
              <w:kinsoku/>
              <w:wordWrap/>
              <w:overflowPunct/>
              <w:topLinePunct w:val="0"/>
              <w:autoSpaceDE w:val="0"/>
              <w:autoSpaceDN w:val="0"/>
              <w:bidi w:val="0"/>
              <w:adjustRightInd/>
              <w:snapToGrid/>
              <w:spacing w:before="32" w:line="150" w:lineRule="exact"/>
              <w:ind w:left="110"/>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一级指标</w:t>
            </w:r>
          </w:p>
        </w:tc>
        <w:tc>
          <w:tcPr>
            <w:tcW w:w="683" w:type="dxa"/>
          </w:tcPr>
          <w:p>
            <w:pPr>
              <w:pStyle w:val="12"/>
              <w:keepNext w:val="0"/>
              <w:keepLines w:val="0"/>
              <w:pageBreakBefore w:val="0"/>
              <w:widowControl w:val="0"/>
              <w:kinsoku/>
              <w:wordWrap/>
              <w:overflowPunct/>
              <w:topLinePunct w:val="0"/>
              <w:autoSpaceDE w:val="0"/>
              <w:autoSpaceDN w:val="0"/>
              <w:bidi w:val="0"/>
              <w:adjustRightInd/>
              <w:snapToGrid/>
              <w:spacing w:before="32" w:line="150" w:lineRule="exact"/>
              <w:ind w:left="28"/>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二级指标</w:t>
            </w:r>
          </w:p>
        </w:tc>
        <w:tc>
          <w:tcPr>
            <w:tcW w:w="2231" w:type="dxa"/>
            <w:gridSpan w:val="3"/>
          </w:tcPr>
          <w:p>
            <w:pPr>
              <w:pStyle w:val="12"/>
              <w:keepNext w:val="0"/>
              <w:keepLines w:val="0"/>
              <w:pageBreakBefore w:val="0"/>
              <w:widowControl w:val="0"/>
              <w:kinsoku/>
              <w:wordWrap/>
              <w:overflowPunct/>
              <w:topLinePunct w:val="0"/>
              <w:autoSpaceDE w:val="0"/>
              <w:autoSpaceDN w:val="0"/>
              <w:bidi w:val="0"/>
              <w:adjustRightInd/>
              <w:snapToGrid/>
              <w:spacing w:before="24" w:line="150" w:lineRule="exact"/>
              <w:ind w:left="756" w:right="745"/>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三级指标</w:t>
            </w:r>
          </w:p>
        </w:tc>
        <w:tc>
          <w:tcPr>
            <w:tcW w:w="1028" w:type="dxa"/>
          </w:tcPr>
          <w:p>
            <w:pPr>
              <w:pStyle w:val="12"/>
              <w:keepNext w:val="0"/>
              <w:keepLines w:val="0"/>
              <w:pageBreakBefore w:val="0"/>
              <w:widowControl w:val="0"/>
              <w:kinsoku/>
              <w:wordWrap/>
              <w:overflowPunct/>
              <w:topLinePunct w:val="0"/>
              <w:autoSpaceDE w:val="0"/>
              <w:autoSpaceDN w:val="0"/>
              <w:bidi w:val="0"/>
              <w:adjustRightInd/>
              <w:snapToGrid/>
              <w:spacing w:before="32" w:line="150" w:lineRule="exact"/>
              <w:ind w:left="120"/>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年度指标值</w:t>
            </w:r>
          </w:p>
        </w:tc>
        <w:tc>
          <w:tcPr>
            <w:tcW w:w="949" w:type="dxa"/>
          </w:tcPr>
          <w:p>
            <w:pPr>
              <w:pStyle w:val="12"/>
              <w:keepNext w:val="0"/>
              <w:keepLines w:val="0"/>
              <w:pageBreakBefore w:val="0"/>
              <w:widowControl w:val="0"/>
              <w:kinsoku/>
              <w:wordWrap/>
              <w:overflowPunct/>
              <w:topLinePunct w:val="0"/>
              <w:autoSpaceDE w:val="0"/>
              <w:autoSpaceDN w:val="0"/>
              <w:bidi w:val="0"/>
              <w:adjustRightInd/>
              <w:snapToGrid/>
              <w:spacing w:before="32" w:line="150" w:lineRule="exact"/>
              <w:ind w:left="88"/>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实际完成值</w:t>
            </w:r>
          </w:p>
        </w:tc>
        <w:tc>
          <w:tcPr>
            <w:tcW w:w="733" w:type="dxa"/>
            <w:gridSpan w:val="2"/>
          </w:tcPr>
          <w:p>
            <w:pPr>
              <w:pStyle w:val="12"/>
              <w:keepNext w:val="0"/>
              <w:keepLines w:val="0"/>
              <w:pageBreakBefore w:val="0"/>
              <w:widowControl w:val="0"/>
              <w:kinsoku/>
              <w:wordWrap/>
              <w:overflowPunct/>
              <w:topLinePunct w:val="0"/>
              <w:autoSpaceDE w:val="0"/>
              <w:autoSpaceDN w:val="0"/>
              <w:bidi w:val="0"/>
              <w:adjustRightInd/>
              <w:snapToGrid/>
              <w:spacing w:before="24" w:line="150" w:lineRule="exact"/>
              <w:ind w:left="204"/>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分值</w:t>
            </w:r>
          </w:p>
        </w:tc>
        <w:tc>
          <w:tcPr>
            <w:tcW w:w="844" w:type="dxa"/>
            <w:gridSpan w:val="2"/>
          </w:tcPr>
          <w:p>
            <w:pPr>
              <w:pStyle w:val="12"/>
              <w:keepNext w:val="0"/>
              <w:keepLines w:val="0"/>
              <w:pageBreakBefore w:val="0"/>
              <w:widowControl w:val="0"/>
              <w:kinsoku/>
              <w:wordWrap/>
              <w:overflowPunct/>
              <w:topLinePunct w:val="0"/>
              <w:autoSpaceDE w:val="0"/>
              <w:autoSpaceDN w:val="0"/>
              <w:bidi w:val="0"/>
              <w:adjustRightInd/>
              <w:snapToGrid/>
              <w:spacing w:before="24" w:line="150" w:lineRule="exact"/>
              <w:ind w:left="262"/>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得分</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before="24" w:line="150" w:lineRule="exact"/>
              <w:ind w:left="82"/>
              <w:jc w:val="center"/>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0"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p>
        </w:tc>
        <w:tc>
          <w:tcPr>
            <w:tcW w:w="847" w:type="dxa"/>
            <w:vMerge w:val="restart"/>
            <w:vAlign w:val="top"/>
          </w:tcPr>
          <w:p>
            <w:pPr>
              <w:pStyle w:val="12"/>
              <w:keepNext w:val="0"/>
              <w:keepLines w:val="0"/>
              <w:pageBreakBefore w:val="0"/>
              <w:widowControl w:val="0"/>
              <w:kinsoku/>
              <w:wordWrap/>
              <w:overflowPunct/>
              <w:topLinePunct w:val="0"/>
              <w:autoSpaceDE w:val="0"/>
              <w:autoSpaceDN w:val="0"/>
              <w:bidi w:val="0"/>
              <w:adjustRightInd/>
              <w:snapToGrid/>
              <w:spacing w:line="150" w:lineRule="exact"/>
              <w:jc w:val="both"/>
              <w:textAlignment w:val="auto"/>
              <w:rPr>
                <w:rFonts w:hint="eastAsia"/>
              </w:rPr>
            </w:pPr>
          </w:p>
          <w:p>
            <w:pPr>
              <w:bidi w:val="0"/>
              <w:rPr>
                <w:rFonts w:hint="eastAsia"/>
              </w:rPr>
            </w:pPr>
          </w:p>
          <w:p>
            <w:pPr>
              <w:jc w:val="center"/>
              <w:rPr>
                <w:rFonts w:hint="eastAsia" w:ascii="宋体" w:hAnsi="宋体" w:eastAsia="宋体" w:cs="宋体"/>
                <w:b w:val="0"/>
                <w:bCs w:val="0"/>
                <w:sz w:val="13"/>
                <w:szCs w:val="13"/>
                <w:lang w:val="en-US" w:eastAsia="en-US"/>
              </w:rPr>
            </w:pPr>
            <w:r>
              <w:rPr>
                <w:rFonts w:hint="eastAsia" w:ascii="宋体" w:hAnsi="宋体" w:eastAsia="宋体" w:cs="宋体"/>
                <w:b w:val="0"/>
                <w:bCs w:val="0"/>
                <w:sz w:val="13"/>
                <w:szCs w:val="13"/>
                <w:lang w:val="en-US" w:eastAsia="en-US"/>
              </w:rPr>
              <w:t>产出指标</w:t>
            </w:r>
          </w:p>
          <w:p>
            <w:pPr>
              <w:bidi w:val="0"/>
              <w:ind w:firstLine="592" w:firstLineChars="0"/>
              <w:jc w:val="left"/>
              <w:rPr>
                <w:rFonts w:hint="eastAsia"/>
              </w:rPr>
            </w:pPr>
          </w:p>
          <w:p>
            <w:pPr>
              <w:pStyle w:val="3"/>
              <w:rPr>
                <w:rFonts w:hint="eastAsia"/>
              </w:rPr>
            </w:pPr>
          </w:p>
          <w:p>
            <w:pPr>
              <w:rPr>
                <w:rFonts w:hint="eastAsia" w:ascii="宋体" w:hAnsi="宋体" w:eastAsia="宋体" w:cs="宋体"/>
                <w:b w:val="0"/>
                <w:bCs w:val="0"/>
                <w:sz w:val="13"/>
                <w:szCs w:val="13"/>
              </w:rPr>
            </w:pPr>
          </w:p>
          <w:p>
            <w:pPr>
              <w:rPr>
                <w:rFonts w:hint="eastAsia" w:ascii="宋体" w:hAnsi="宋体" w:eastAsia="宋体" w:cs="宋体"/>
                <w:b w:val="0"/>
                <w:bCs w:val="0"/>
                <w:sz w:val="13"/>
                <w:szCs w:val="13"/>
              </w:rPr>
            </w:pPr>
          </w:p>
          <w:p>
            <w:pPr>
              <w:rPr>
                <w:rFonts w:hint="eastAsia" w:ascii="宋体" w:hAnsi="宋体" w:eastAsia="宋体" w:cs="宋体"/>
                <w:b w:val="0"/>
                <w:bCs w:val="0"/>
                <w:sz w:val="13"/>
                <w:szCs w:val="13"/>
              </w:rPr>
            </w:pPr>
          </w:p>
          <w:p>
            <w:pPr>
              <w:rPr>
                <w:rFonts w:hint="eastAsia" w:ascii="宋体" w:hAnsi="宋体" w:eastAsia="宋体" w:cs="宋体"/>
                <w:b w:val="0"/>
                <w:bCs w:val="0"/>
                <w:sz w:val="13"/>
                <w:szCs w:val="13"/>
              </w:rPr>
            </w:pPr>
          </w:p>
          <w:p>
            <w:pPr>
              <w:pStyle w:val="3"/>
              <w:rPr>
                <w:rFonts w:hint="eastAsia"/>
              </w:rPr>
            </w:pPr>
          </w:p>
          <w:p>
            <w:pPr>
              <w:rPr>
                <w:rFonts w:hint="eastAsia"/>
              </w:rPr>
            </w:pPr>
          </w:p>
          <w:p>
            <w:pPr>
              <w:jc w:val="center"/>
              <w:rPr>
                <w:rFonts w:hint="eastAsia"/>
              </w:rPr>
            </w:pPr>
            <w:r>
              <w:rPr>
                <w:rFonts w:hint="eastAsia" w:ascii="宋体" w:hAnsi="宋体" w:eastAsia="宋体" w:cs="宋体"/>
                <w:b w:val="0"/>
                <w:bCs w:val="0"/>
                <w:sz w:val="13"/>
                <w:szCs w:val="13"/>
              </w:rPr>
              <w:t>效益指标</w:t>
            </w:r>
          </w:p>
        </w:tc>
        <w:tc>
          <w:tcPr>
            <w:tcW w:w="683"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8"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ind w:left="28"/>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数量指标</w:t>
            </w:r>
          </w:p>
        </w:tc>
        <w:tc>
          <w:tcPr>
            <w:tcW w:w="2231" w:type="dxa"/>
            <w:gridSpan w:val="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指标1：</w:t>
            </w:r>
            <w:r>
              <w:rPr>
                <w:rFonts w:hint="eastAsia" w:cs="宋体"/>
                <w:b w:val="0"/>
                <w:bCs w:val="0"/>
                <w:sz w:val="13"/>
                <w:szCs w:val="13"/>
                <w:lang w:eastAsia="zh-CN"/>
              </w:rPr>
              <w:t>机构编制工作专题会议次数</w:t>
            </w:r>
          </w:p>
        </w:tc>
        <w:tc>
          <w:tcPr>
            <w:tcW w:w="1028"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ascii="东文宋体" w:hAnsi="东文宋体" w:eastAsia="东文宋体" w:cs="东文宋体"/>
                <w:b w:val="0"/>
                <w:bCs w:val="0"/>
                <w:sz w:val="13"/>
                <w:szCs w:val="13"/>
                <w:lang w:eastAsia="zh-CN"/>
              </w:rPr>
              <w:t>≥</w:t>
            </w:r>
            <w:r>
              <w:rPr>
                <w:rFonts w:hint="eastAsia" w:cs="宋体"/>
                <w:b w:val="0"/>
                <w:bCs w:val="0"/>
                <w:sz w:val="13"/>
                <w:szCs w:val="13"/>
                <w:lang w:val="en-US" w:eastAsia="zh-CN"/>
              </w:rPr>
              <w:t>4次</w:t>
            </w:r>
          </w:p>
        </w:tc>
        <w:tc>
          <w:tcPr>
            <w:tcW w:w="94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4次</w:t>
            </w:r>
          </w:p>
        </w:tc>
        <w:tc>
          <w:tcPr>
            <w:tcW w:w="733"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指标2：</w:t>
            </w:r>
            <w:r>
              <w:rPr>
                <w:rFonts w:hint="eastAsia" w:cs="宋体"/>
                <w:b w:val="0"/>
                <w:bCs w:val="0"/>
                <w:sz w:val="13"/>
                <w:szCs w:val="13"/>
                <w:lang w:eastAsia="zh-CN"/>
              </w:rPr>
              <w:t>机构编制调研报告形成数</w:t>
            </w:r>
          </w:p>
        </w:tc>
        <w:tc>
          <w:tcPr>
            <w:tcW w:w="1028"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default" w:ascii="Arial" w:hAnsi="Arial" w:eastAsia="宋体" w:cs="Arial"/>
                <w:b w:val="0"/>
                <w:bCs w:val="0"/>
                <w:sz w:val="13"/>
                <w:szCs w:val="13"/>
              </w:rPr>
              <w:t>≥</w:t>
            </w:r>
            <w:r>
              <w:rPr>
                <w:rFonts w:hint="eastAsia" w:ascii="Arial" w:hAnsi="Arial" w:cs="Arial"/>
                <w:b w:val="0"/>
                <w:bCs w:val="0"/>
                <w:sz w:val="13"/>
                <w:szCs w:val="13"/>
                <w:lang w:val="en-US" w:eastAsia="zh-CN"/>
              </w:rPr>
              <w:t>22篇</w:t>
            </w:r>
          </w:p>
        </w:tc>
        <w:tc>
          <w:tcPr>
            <w:tcW w:w="94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26篇</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default" w:ascii="宋体" w:hAnsi="宋体" w:eastAsia="宋体" w:cs="宋体"/>
                <w:b w:val="0"/>
                <w:bCs w:val="0"/>
                <w:sz w:val="13"/>
                <w:szCs w:val="13"/>
                <w:lang w:val="en-US" w:eastAsia="zh-CN"/>
              </w:rPr>
            </w:pPr>
            <w:r>
              <w:rPr>
                <w:rFonts w:hint="eastAsia" w:cs="宋体"/>
                <w:b w:val="0"/>
                <w:bCs w:val="0"/>
                <w:sz w:val="13"/>
                <w:szCs w:val="13"/>
                <w:lang w:eastAsia="zh-CN"/>
              </w:rPr>
              <w:t>指标</w:t>
            </w:r>
            <w:r>
              <w:rPr>
                <w:rFonts w:hint="eastAsia" w:cs="宋体"/>
                <w:b w:val="0"/>
                <w:bCs w:val="0"/>
                <w:sz w:val="13"/>
                <w:szCs w:val="13"/>
                <w:lang w:val="en-US" w:eastAsia="zh-CN"/>
              </w:rPr>
              <w:t>3：市级机关事业单位电子编制证使用率</w:t>
            </w:r>
          </w:p>
        </w:tc>
        <w:tc>
          <w:tcPr>
            <w:tcW w:w="1028"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default" w:ascii="Arial" w:hAnsi="Arial" w:eastAsia="宋体" w:cs="Arial"/>
                <w:b w:val="0"/>
                <w:bCs w:val="0"/>
                <w:sz w:val="13"/>
                <w:szCs w:val="13"/>
              </w:rPr>
              <w:t>≥</w:t>
            </w:r>
            <w:r>
              <w:rPr>
                <w:rFonts w:hint="eastAsia" w:ascii="Arial" w:hAnsi="Arial" w:cs="Arial"/>
                <w:b w:val="0"/>
                <w:bCs w:val="0"/>
                <w:sz w:val="13"/>
                <w:szCs w:val="13"/>
                <w:lang w:val="en-US" w:eastAsia="zh-CN"/>
              </w:rPr>
              <w:t>10</w:t>
            </w:r>
            <w:r>
              <w:rPr>
                <w:rFonts w:hint="eastAsia" w:cs="宋体"/>
                <w:b w:val="0"/>
                <w:bCs w:val="0"/>
                <w:sz w:val="13"/>
                <w:szCs w:val="13"/>
                <w:lang w:val="en-US" w:eastAsia="zh-CN"/>
              </w:rPr>
              <w:t>0%</w:t>
            </w:r>
          </w:p>
        </w:tc>
        <w:tc>
          <w:tcPr>
            <w:tcW w:w="94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100%</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8"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ind w:left="28"/>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质量指标</w:t>
            </w:r>
          </w:p>
        </w:tc>
        <w:tc>
          <w:tcPr>
            <w:tcW w:w="2231" w:type="dxa"/>
            <w:gridSpan w:val="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指标1：</w:t>
            </w:r>
            <w:r>
              <w:rPr>
                <w:rFonts w:hint="eastAsia" w:cs="宋体"/>
                <w:b w:val="0"/>
                <w:bCs w:val="0"/>
                <w:sz w:val="13"/>
                <w:szCs w:val="13"/>
                <w:lang w:eastAsia="zh-CN"/>
              </w:rPr>
              <w:t>电子编制证推广使用率</w:t>
            </w:r>
          </w:p>
        </w:tc>
        <w:tc>
          <w:tcPr>
            <w:tcW w:w="1028"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default" w:ascii="Arial" w:hAnsi="Arial" w:eastAsia="宋体" w:cs="Arial"/>
                <w:b w:val="0"/>
                <w:bCs w:val="0"/>
                <w:sz w:val="13"/>
                <w:szCs w:val="13"/>
              </w:rPr>
              <w:t>≥</w:t>
            </w:r>
            <w:r>
              <w:rPr>
                <w:rFonts w:hint="eastAsia" w:ascii="Arial" w:hAnsi="Arial" w:cs="Arial"/>
                <w:b w:val="0"/>
                <w:bCs w:val="0"/>
                <w:sz w:val="13"/>
                <w:szCs w:val="13"/>
                <w:lang w:val="en-US" w:eastAsia="zh-CN"/>
              </w:rPr>
              <w:t>10</w:t>
            </w:r>
            <w:r>
              <w:rPr>
                <w:rFonts w:hint="eastAsia" w:cs="宋体"/>
                <w:b w:val="0"/>
                <w:bCs w:val="0"/>
                <w:sz w:val="13"/>
                <w:szCs w:val="13"/>
                <w:lang w:val="en-US" w:eastAsia="zh-CN"/>
              </w:rPr>
              <w:t>0%</w:t>
            </w:r>
          </w:p>
        </w:tc>
        <w:tc>
          <w:tcPr>
            <w:tcW w:w="94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cs="宋体"/>
                <w:b w:val="0"/>
                <w:bCs w:val="0"/>
                <w:sz w:val="13"/>
                <w:szCs w:val="13"/>
                <w:lang w:val="en-US" w:eastAsia="zh-CN"/>
              </w:rPr>
              <w:t>100%</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指标2：</w:t>
            </w:r>
            <w:r>
              <w:rPr>
                <w:rFonts w:hint="eastAsia" w:cs="宋体"/>
                <w:b w:val="0"/>
                <w:bCs w:val="0"/>
                <w:sz w:val="13"/>
                <w:szCs w:val="13"/>
                <w:lang w:eastAsia="zh-CN"/>
              </w:rPr>
              <w:t>编印机构编制材料覆盖率</w:t>
            </w:r>
          </w:p>
        </w:tc>
        <w:tc>
          <w:tcPr>
            <w:tcW w:w="1028"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default" w:ascii="Arial" w:hAnsi="Arial" w:eastAsia="宋体" w:cs="Arial"/>
                <w:b w:val="0"/>
                <w:bCs w:val="0"/>
                <w:sz w:val="13"/>
                <w:szCs w:val="13"/>
              </w:rPr>
              <w:t>≥</w:t>
            </w:r>
            <w:r>
              <w:rPr>
                <w:rFonts w:hint="eastAsia" w:ascii="Arial" w:hAnsi="Arial" w:cs="Arial"/>
                <w:b w:val="0"/>
                <w:bCs w:val="0"/>
                <w:sz w:val="13"/>
                <w:szCs w:val="13"/>
                <w:lang w:val="en-US" w:eastAsia="zh-CN"/>
              </w:rPr>
              <w:t>10</w:t>
            </w:r>
            <w:r>
              <w:rPr>
                <w:rFonts w:hint="eastAsia" w:cs="宋体"/>
                <w:b w:val="0"/>
                <w:bCs w:val="0"/>
                <w:sz w:val="13"/>
                <w:szCs w:val="13"/>
                <w:lang w:val="en-US" w:eastAsia="zh-CN"/>
              </w:rPr>
              <w:t>0%</w:t>
            </w:r>
          </w:p>
        </w:tc>
        <w:tc>
          <w:tcPr>
            <w:tcW w:w="94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cs="宋体"/>
                <w:b w:val="0"/>
                <w:bCs w:val="0"/>
                <w:sz w:val="13"/>
                <w:szCs w:val="13"/>
                <w:lang w:val="en-US" w:eastAsia="zh-CN"/>
              </w:rPr>
              <w:t>100%</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default" w:ascii="宋体" w:hAnsi="宋体" w:eastAsia="宋体" w:cs="宋体"/>
                <w:b w:val="0"/>
                <w:bCs w:val="0"/>
                <w:sz w:val="13"/>
                <w:szCs w:val="13"/>
                <w:lang w:val="en-US" w:eastAsia="zh-CN"/>
              </w:rPr>
            </w:pPr>
            <w:r>
              <w:rPr>
                <w:rFonts w:hint="eastAsia" w:cs="宋体"/>
                <w:b w:val="0"/>
                <w:bCs w:val="0"/>
                <w:sz w:val="13"/>
                <w:szCs w:val="13"/>
                <w:lang w:eastAsia="zh-CN"/>
              </w:rPr>
              <w:t>指标</w:t>
            </w:r>
            <w:r>
              <w:rPr>
                <w:rFonts w:hint="eastAsia" w:cs="宋体"/>
                <w:b w:val="0"/>
                <w:bCs w:val="0"/>
                <w:sz w:val="13"/>
                <w:szCs w:val="13"/>
                <w:lang w:val="en-US" w:eastAsia="zh-CN"/>
              </w:rPr>
              <w:t>3：实名制信息更新率</w:t>
            </w:r>
          </w:p>
        </w:tc>
        <w:tc>
          <w:tcPr>
            <w:tcW w:w="1028"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default" w:ascii="Arial" w:hAnsi="Arial" w:eastAsia="宋体" w:cs="Arial"/>
                <w:b w:val="0"/>
                <w:bCs w:val="0"/>
                <w:sz w:val="13"/>
                <w:szCs w:val="13"/>
              </w:rPr>
              <w:t>≥</w:t>
            </w:r>
            <w:r>
              <w:rPr>
                <w:rFonts w:hint="eastAsia" w:ascii="Arial" w:hAnsi="Arial" w:cs="Arial"/>
                <w:b w:val="0"/>
                <w:bCs w:val="0"/>
                <w:sz w:val="13"/>
                <w:szCs w:val="13"/>
                <w:lang w:val="en-US" w:eastAsia="zh-CN"/>
              </w:rPr>
              <w:t>95</w:t>
            </w:r>
            <w:r>
              <w:rPr>
                <w:rFonts w:hint="eastAsia" w:cs="宋体"/>
                <w:b w:val="0"/>
                <w:bCs w:val="0"/>
                <w:sz w:val="13"/>
                <w:szCs w:val="13"/>
                <w:lang w:val="en-US" w:eastAsia="zh-CN"/>
              </w:rPr>
              <w:t>%</w:t>
            </w:r>
          </w:p>
        </w:tc>
        <w:tc>
          <w:tcPr>
            <w:tcW w:w="94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cs="宋体"/>
                <w:b w:val="0"/>
                <w:bCs w:val="0"/>
                <w:sz w:val="13"/>
                <w:szCs w:val="13"/>
                <w:lang w:val="en-US" w:eastAsia="zh-CN"/>
              </w:rPr>
              <w:t>100%</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8"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ind w:left="28"/>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时效指标</w:t>
            </w:r>
          </w:p>
        </w:tc>
        <w:tc>
          <w:tcPr>
            <w:tcW w:w="2231" w:type="dxa"/>
            <w:gridSpan w:val="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指标1：</w:t>
            </w:r>
            <w:r>
              <w:rPr>
                <w:rFonts w:hint="eastAsia" w:cs="宋体"/>
                <w:b w:val="0"/>
                <w:bCs w:val="0"/>
                <w:sz w:val="13"/>
                <w:szCs w:val="13"/>
                <w:lang w:eastAsia="zh-CN"/>
              </w:rPr>
              <w:t>按时完成域名及编制证续费工作</w:t>
            </w:r>
          </w:p>
        </w:tc>
        <w:tc>
          <w:tcPr>
            <w:tcW w:w="1028"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12月底前</w:t>
            </w:r>
          </w:p>
        </w:tc>
        <w:tc>
          <w:tcPr>
            <w:tcW w:w="94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按时完成</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指标2：</w:t>
            </w:r>
            <w:r>
              <w:rPr>
                <w:rFonts w:hint="eastAsia" w:cs="宋体"/>
                <w:b w:val="0"/>
                <w:bCs w:val="0"/>
                <w:sz w:val="13"/>
                <w:szCs w:val="13"/>
                <w:lang w:eastAsia="zh-CN"/>
              </w:rPr>
              <w:t>机构编制各类台账报送</w:t>
            </w:r>
          </w:p>
        </w:tc>
        <w:tc>
          <w:tcPr>
            <w:tcW w:w="1028"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按时报送</w:t>
            </w:r>
          </w:p>
        </w:tc>
        <w:tc>
          <w:tcPr>
            <w:tcW w:w="94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按时报送</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8"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ind w:left="28"/>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成本指标</w:t>
            </w:r>
          </w:p>
        </w:tc>
        <w:tc>
          <w:tcPr>
            <w:tcW w:w="2231" w:type="dxa"/>
            <w:gridSpan w:val="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指标1：</w:t>
            </w:r>
            <w:r>
              <w:rPr>
                <w:rFonts w:hint="eastAsia" w:cs="宋体"/>
                <w:b w:val="0"/>
                <w:bCs w:val="0"/>
                <w:sz w:val="13"/>
                <w:szCs w:val="13"/>
                <w:lang w:eastAsia="zh-CN"/>
              </w:rPr>
              <w:t>电子编制证成本概算</w:t>
            </w:r>
          </w:p>
        </w:tc>
        <w:tc>
          <w:tcPr>
            <w:tcW w:w="1028"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default" w:ascii="Arial" w:hAnsi="Arial" w:eastAsia="宋体" w:cs="Arial"/>
                <w:b w:val="0"/>
                <w:bCs w:val="0"/>
                <w:sz w:val="13"/>
                <w:szCs w:val="13"/>
              </w:rPr>
              <w:t>≤</w:t>
            </w:r>
            <w:r>
              <w:rPr>
                <w:rFonts w:hint="eastAsia" w:cs="宋体"/>
                <w:b w:val="0"/>
                <w:bCs w:val="0"/>
                <w:sz w:val="13"/>
                <w:szCs w:val="13"/>
                <w:lang w:val="en-US" w:eastAsia="zh-CN"/>
              </w:rPr>
              <w:t>5万元</w:t>
            </w:r>
          </w:p>
        </w:tc>
        <w:tc>
          <w:tcPr>
            <w:tcW w:w="94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5万元</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指标2：</w:t>
            </w:r>
            <w:r>
              <w:rPr>
                <w:rFonts w:hint="eastAsia" w:cs="宋体"/>
                <w:b w:val="0"/>
                <w:bCs w:val="0"/>
                <w:sz w:val="13"/>
                <w:szCs w:val="13"/>
                <w:lang w:eastAsia="zh-CN"/>
              </w:rPr>
              <w:t>域名维护费</w:t>
            </w:r>
          </w:p>
        </w:tc>
        <w:tc>
          <w:tcPr>
            <w:tcW w:w="1028"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default" w:ascii="Arial" w:hAnsi="Arial" w:eastAsia="宋体" w:cs="Arial"/>
                <w:b w:val="0"/>
                <w:bCs w:val="0"/>
                <w:sz w:val="13"/>
                <w:szCs w:val="13"/>
              </w:rPr>
              <w:t>≤</w:t>
            </w:r>
            <w:r>
              <w:rPr>
                <w:rFonts w:hint="eastAsia" w:cs="宋体"/>
                <w:b w:val="0"/>
                <w:bCs w:val="0"/>
                <w:sz w:val="13"/>
                <w:szCs w:val="13"/>
                <w:lang w:val="en-US" w:eastAsia="zh-CN"/>
              </w:rPr>
              <w:t>2万元</w:t>
            </w:r>
          </w:p>
        </w:tc>
        <w:tc>
          <w:tcPr>
            <w:tcW w:w="94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1.44万元</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11"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ind w:left="176" w:right="24" w:hanging="149"/>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5"/>
                <w:sz w:val="13"/>
                <w:szCs w:val="13"/>
              </w:rPr>
              <w:t>社会效益</w:t>
            </w:r>
            <w:r>
              <w:rPr>
                <w:rFonts w:hint="eastAsia" w:ascii="宋体" w:hAnsi="宋体" w:eastAsia="宋体" w:cs="宋体"/>
                <w:b w:val="0"/>
                <w:bCs w:val="0"/>
                <w:sz w:val="13"/>
                <w:szCs w:val="13"/>
              </w:rPr>
              <w:t>指标</w:t>
            </w:r>
          </w:p>
        </w:tc>
        <w:tc>
          <w:tcPr>
            <w:tcW w:w="2231" w:type="dxa"/>
            <w:gridSpan w:val="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指标1：</w:t>
            </w:r>
            <w:r>
              <w:rPr>
                <w:rFonts w:hint="eastAsia" w:cs="宋体"/>
                <w:b w:val="0"/>
                <w:bCs w:val="0"/>
                <w:sz w:val="13"/>
                <w:szCs w:val="13"/>
                <w:lang w:eastAsia="zh-CN"/>
              </w:rPr>
              <w:t>机构编制服务保障行业发展水平</w:t>
            </w:r>
          </w:p>
        </w:tc>
        <w:tc>
          <w:tcPr>
            <w:tcW w:w="1028"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进一步提升</w:t>
            </w:r>
          </w:p>
        </w:tc>
        <w:tc>
          <w:tcPr>
            <w:tcW w:w="94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显著提升</w:t>
            </w:r>
          </w:p>
        </w:tc>
        <w:tc>
          <w:tcPr>
            <w:tcW w:w="733"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8</w:t>
            </w:r>
          </w:p>
        </w:tc>
        <w:tc>
          <w:tcPr>
            <w:tcW w:w="844"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8</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指标2：机关事业单位自身机构编制管理意识</w:t>
            </w:r>
          </w:p>
        </w:tc>
        <w:tc>
          <w:tcPr>
            <w:tcW w:w="1028"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eastAsia="zh-CN"/>
              </w:rPr>
              <w:t>进一步提升</w:t>
            </w:r>
          </w:p>
        </w:tc>
        <w:tc>
          <w:tcPr>
            <w:tcW w:w="94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eastAsia="zh-CN"/>
              </w:rPr>
              <w:t>显著提升</w:t>
            </w:r>
          </w:p>
        </w:tc>
        <w:tc>
          <w:tcPr>
            <w:tcW w:w="733"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7</w:t>
            </w:r>
          </w:p>
        </w:tc>
        <w:tc>
          <w:tcPr>
            <w:tcW w:w="844"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7</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11"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ind w:left="102" w:right="24" w:hanging="75"/>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5"/>
                <w:sz w:val="13"/>
                <w:szCs w:val="13"/>
              </w:rPr>
              <w:t>可持续影</w:t>
            </w:r>
            <w:r>
              <w:rPr>
                <w:rFonts w:hint="eastAsia" w:ascii="宋体" w:hAnsi="宋体" w:eastAsia="宋体" w:cs="宋体"/>
                <w:b w:val="0"/>
                <w:bCs w:val="0"/>
                <w:sz w:val="13"/>
                <w:szCs w:val="13"/>
              </w:rPr>
              <w:t>响指标</w:t>
            </w:r>
          </w:p>
        </w:tc>
        <w:tc>
          <w:tcPr>
            <w:tcW w:w="2231" w:type="dxa"/>
            <w:gridSpan w:val="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指标1：系统正常使用年限</w:t>
            </w:r>
          </w:p>
        </w:tc>
        <w:tc>
          <w:tcPr>
            <w:tcW w:w="1028"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中长期</w:t>
            </w:r>
          </w:p>
        </w:tc>
        <w:tc>
          <w:tcPr>
            <w:tcW w:w="94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中长期</w:t>
            </w:r>
          </w:p>
        </w:tc>
        <w:tc>
          <w:tcPr>
            <w:tcW w:w="733"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7</w:t>
            </w:r>
          </w:p>
        </w:tc>
        <w:tc>
          <w:tcPr>
            <w:tcW w:w="844"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7</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指标2：</w:t>
            </w:r>
            <w:r>
              <w:rPr>
                <w:rFonts w:hint="eastAsia" w:cs="宋体"/>
                <w:b w:val="0"/>
                <w:bCs w:val="0"/>
                <w:sz w:val="13"/>
                <w:szCs w:val="13"/>
                <w:lang w:eastAsia="zh-CN"/>
              </w:rPr>
              <w:t>加强全市人才队伍建设</w:t>
            </w:r>
          </w:p>
        </w:tc>
        <w:tc>
          <w:tcPr>
            <w:tcW w:w="1028"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中长期</w:t>
            </w:r>
          </w:p>
        </w:tc>
        <w:tc>
          <w:tcPr>
            <w:tcW w:w="94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中长期</w:t>
            </w:r>
          </w:p>
        </w:tc>
        <w:tc>
          <w:tcPr>
            <w:tcW w:w="733"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8</w:t>
            </w:r>
          </w:p>
        </w:tc>
        <w:tc>
          <w:tcPr>
            <w:tcW w:w="844"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8</w:t>
            </w:r>
          </w:p>
        </w:tc>
        <w:tc>
          <w:tcPr>
            <w:tcW w:w="1869"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both"/>
              <w:textAlignment w:val="auto"/>
              <w:rPr>
                <w:rFonts w:hint="eastAsia" w:ascii="宋体" w:hAnsi="宋体" w:eastAsia="宋体" w:cs="宋体"/>
                <w:b w:val="0"/>
                <w:bCs w:val="0"/>
                <w:sz w:val="13"/>
                <w:szCs w:val="13"/>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tcPr>
          <w:p>
            <w:pPr>
              <w:pStyle w:val="12"/>
              <w:keepNext w:val="0"/>
              <w:keepLines w:val="0"/>
              <w:pageBreakBefore w:val="0"/>
              <w:widowControl w:val="0"/>
              <w:kinsoku/>
              <w:wordWrap/>
              <w:overflowPunct/>
              <w:topLinePunct w:val="0"/>
              <w:autoSpaceDE w:val="0"/>
              <w:autoSpaceDN w:val="0"/>
              <w:bidi w:val="0"/>
              <w:adjustRightInd/>
              <w:snapToGrid/>
              <w:spacing w:before="8" w:line="150" w:lineRule="exact"/>
              <w:jc w:val="center"/>
              <w:textAlignment w:val="auto"/>
              <w:rPr>
                <w:rFonts w:hint="eastAsia" w:ascii="宋体" w:hAnsi="宋体" w:eastAsia="宋体" w:cs="宋体"/>
                <w:b w:val="0"/>
                <w:bCs w:val="0"/>
                <w:sz w:val="13"/>
                <w:szCs w:val="13"/>
              </w:rPr>
            </w:pPr>
          </w:p>
          <w:p>
            <w:pPr>
              <w:pStyle w:val="12"/>
              <w:keepNext w:val="0"/>
              <w:keepLines w:val="0"/>
              <w:pageBreakBefore w:val="0"/>
              <w:widowControl w:val="0"/>
              <w:kinsoku/>
              <w:wordWrap/>
              <w:overflowPunct/>
              <w:topLinePunct w:val="0"/>
              <w:autoSpaceDE w:val="0"/>
              <w:autoSpaceDN w:val="0"/>
              <w:bidi w:val="0"/>
              <w:adjustRightInd/>
              <w:snapToGrid/>
              <w:spacing w:line="150" w:lineRule="exact"/>
              <w:ind w:left="36"/>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满意度指标</w:t>
            </w:r>
          </w:p>
        </w:tc>
        <w:tc>
          <w:tcPr>
            <w:tcW w:w="683"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40" w:line="150" w:lineRule="exact"/>
              <w:ind w:left="28" w:right="24"/>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5"/>
                <w:sz w:val="13"/>
                <w:szCs w:val="13"/>
              </w:rPr>
              <w:t>服务对象满意度指</w:t>
            </w:r>
            <w:r>
              <w:rPr>
                <w:rFonts w:hint="eastAsia" w:ascii="宋体" w:hAnsi="宋体" w:eastAsia="宋体" w:cs="宋体"/>
                <w:b w:val="0"/>
                <w:bCs w:val="0"/>
                <w:sz w:val="13"/>
                <w:szCs w:val="13"/>
              </w:rPr>
              <w:t>标</w:t>
            </w:r>
          </w:p>
        </w:tc>
        <w:tc>
          <w:tcPr>
            <w:tcW w:w="2231" w:type="dxa"/>
            <w:gridSpan w:val="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指标1：</w:t>
            </w:r>
            <w:r>
              <w:rPr>
                <w:rFonts w:hint="eastAsia" w:cs="宋体"/>
                <w:b w:val="0"/>
                <w:bCs w:val="0"/>
                <w:sz w:val="13"/>
                <w:szCs w:val="13"/>
                <w:lang w:eastAsia="zh-CN"/>
              </w:rPr>
              <w:t>机构编制服务对象满意度</w:t>
            </w:r>
          </w:p>
        </w:tc>
        <w:tc>
          <w:tcPr>
            <w:tcW w:w="1028"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default" w:ascii="Arial" w:hAnsi="Arial" w:eastAsia="宋体" w:cs="Arial"/>
                <w:b w:val="0"/>
                <w:bCs w:val="0"/>
                <w:sz w:val="13"/>
                <w:szCs w:val="13"/>
              </w:rPr>
              <w:t>≥</w:t>
            </w:r>
            <w:r>
              <w:rPr>
                <w:rFonts w:hint="eastAsia" w:ascii="Arial" w:hAnsi="Arial" w:cs="Arial"/>
                <w:b w:val="0"/>
                <w:bCs w:val="0"/>
                <w:sz w:val="13"/>
                <w:szCs w:val="13"/>
                <w:lang w:val="en-US" w:eastAsia="zh-CN"/>
              </w:rPr>
              <w:t>90</w:t>
            </w:r>
            <w:r>
              <w:rPr>
                <w:rFonts w:hint="eastAsia" w:cs="宋体"/>
                <w:b w:val="0"/>
                <w:bCs w:val="0"/>
                <w:sz w:val="13"/>
                <w:szCs w:val="13"/>
                <w:lang w:val="en-US" w:eastAsia="zh-CN"/>
              </w:rPr>
              <w:t>%</w:t>
            </w:r>
          </w:p>
        </w:tc>
        <w:tc>
          <w:tcPr>
            <w:tcW w:w="949"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cs="宋体"/>
                <w:b w:val="0"/>
                <w:bCs w:val="0"/>
                <w:sz w:val="13"/>
                <w:szCs w:val="13"/>
                <w:lang w:val="en-US" w:eastAsia="zh-CN"/>
              </w:rPr>
              <w:t>95%</w:t>
            </w:r>
          </w:p>
        </w:tc>
        <w:tc>
          <w:tcPr>
            <w:tcW w:w="733"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10</w:t>
            </w:r>
          </w:p>
        </w:tc>
        <w:tc>
          <w:tcPr>
            <w:tcW w:w="844"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10</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233" w:type="dxa"/>
            <w:gridSpan w:val="8"/>
          </w:tcPr>
          <w:p>
            <w:pPr>
              <w:pStyle w:val="12"/>
              <w:keepNext w:val="0"/>
              <w:keepLines w:val="0"/>
              <w:pageBreakBefore w:val="0"/>
              <w:widowControl w:val="0"/>
              <w:kinsoku/>
              <w:wordWrap/>
              <w:overflowPunct/>
              <w:topLinePunct w:val="0"/>
              <w:autoSpaceDE w:val="0"/>
              <w:autoSpaceDN w:val="0"/>
              <w:bidi w:val="0"/>
              <w:adjustRightInd/>
              <w:snapToGrid/>
              <w:spacing w:line="150" w:lineRule="exact"/>
              <w:ind w:left="2834" w:right="2823"/>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总分</w:t>
            </w:r>
          </w:p>
        </w:tc>
        <w:tc>
          <w:tcPr>
            <w:tcW w:w="733"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ind w:left="245"/>
              <w:jc w:val="both"/>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100</w:t>
            </w:r>
          </w:p>
        </w:tc>
        <w:tc>
          <w:tcPr>
            <w:tcW w:w="844"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95.7</w:t>
            </w:r>
          </w:p>
        </w:tc>
        <w:tc>
          <w:tcPr>
            <w:tcW w:w="1869" w:type="dxa"/>
            <w:gridSpan w:val="2"/>
          </w:tcPr>
          <w:p>
            <w:pPr>
              <w:pStyle w:val="12"/>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95"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ind w:left="27"/>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说明</w:t>
            </w:r>
          </w:p>
        </w:tc>
        <w:tc>
          <w:tcPr>
            <w:tcW w:w="9184" w:type="dxa"/>
            <w:gridSpan w:val="13"/>
            <w:vAlign w:val="center"/>
          </w:tcPr>
          <w:p>
            <w:pPr>
              <w:pStyle w:val="12"/>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default" w:ascii="黑体" w:hAnsi="黑体" w:eastAsia="黑体"/>
          <w:sz w:val="32"/>
          <w:szCs w:val="32"/>
          <w:lang w:val="en-US" w:eastAsia="zh-CN"/>
        </w:rPr>
      </w:pPr>
    </w:p>
    <w:sectPr>
      <w:footerReference r:id="rId3" w:type="default"/>
      <w:pgSz w:w="11906" w:h="16838"/>
      <w:pgMar w:top="1984" w:right="1474" w:bottom="187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- 4 -</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- 4 -</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6385"/>
    <w:rsid w:val="002F511D"/>
    <w:rsid w:val="003415DD"/>
    <w:rsid w:val="005456BC"/>
    <w:rsid w:val="005D795F"/>
    <w:rsid w:val="00664B92"/>
    <w:rsid w:val="00C41244"/>
    <w:rsid w:val="0123221B"/>
    <w:rsid w:val="01354896"/>
    <w:rsid w:val="01606692"/>
    <w:rsid w:val="01852B73"/>
    <w:rsid w:val="01860F82"/>
    <w:rsid w:val="01B1312E"/>
    <w:rsid w:val="01B53D0A"/>
    <w:rsid w:val="01B576EF"/>
    <w:rsid w:val="01B74525"/>
    <w:rsid w:val="01C64444"/>
    <w:rsid w:val="01CC5F6A"/>
    <w:rsid w:val="01FE2058"/>
    <w:rsid w:val="02076399"/>
    <w:rsid w:val="02175288"/>
    <w:rsid w:val="022173E0"/>
    <w:rsid w:val="02256049"/>
    <w:rsid w:val="02591C55"/>
    <w:rsid w:val="02661DF9"/>
    <w:rsid w:val="028D30A0"/>
    <w:rsid w:val="03081BE1"/>
    <w:rsid w:val="031656F0"/>
    <w:rsid w:val="031C5643"/>
    <w:rsid w:val="03600E60"/>
    <w:rsid w:val="03700D2B"/>
    <w:rsid w:val="03892290"/>
    <w:rsid w:val="038A7555"/>
    <w:rsid w:val="03A15A2A"/>
    <w:rsid w:val="03B5078D"/>
    <w:rsid w:val="03C220D9"/>
    <w:rsid w:val="03D21736"/>
    <w:rsid w:val="03D454F8"/>
    <w:rsid w:val="03D51993"/>
    <w:rsid w:val="03EE02FA"/>
    <w:rsid w:val="044E6F89"/>
    <w:rsid w:val="04955693"/>
    <w:rsid w:val="04A10F07"/>
    <w:rsid w:val="04B6460E"/>
    <w:rsid w:val="04B66C69"/>
    <w:rsid w:val="04C551E1"/>
    <w:rsid w:val="04CB5643"/>
    <w:rsid w:val="04DC06C5"/>
    <w:rsid w:val="050151F8"/>
    <w:rsid w:val="051E3998"/>
    <w:rsid w:val="05393A7E"/>
    <w:rsid w:val="054E05E9"/>
    <w:rsid w:val="056A19CB"/>
    <w:rsid w:val="05BE4527"/>
    <w:rsid w:val="05E46835"/>
    <w:rsid w:val="05F3452F"/>
    <w:rsid w:val="05F93D1F"/>
    <w:rsid w:val="05FE4F18"/>
    <w:rsid w:val="060B5E58"/>
    <w:rsid w:val="06306717"/>
    <w:rsid w:val="06623FA5"/>
    <w:rsid w:val="06740777"/>
    <w:rsid w:val="06966FE1"/>
    <w:rsid w:val="06AE3D40"/>
    <w:rsid w:val="06AF0A39"/>
    <w:rsid w:val="06D01FF1"/>
    <w:rsid w:val="06E425BB"/>
    <w:rsid w:val="07407F5C"/>
    <w:rsid w:val="074523F8"/>
    <w:rsid w:val="0745494B"/>
    <w:rsid w:val="07CB39A0"/>
    <w:rsid w:val="07CC7509"/>
    <w:rsid w:val="07D17B8E"/>
    <w:rsid w:val="07F43C72"/>
    <w:rsid w:val="07F922C5"/>
    <w:rsid w:val="08050CBE"/>
    <w:rsid w:val="08130E89"/>
    <w:rsid w:val="08365D62"/>
    <w:rsid w:val="08412B45"/>
    <w:rsid w:val="08650340"/>
    <w:rsid w:val="087D410B"/>
    <w:rsid w:val="0899678E"/>
    <w:rsid w:val="08C416E1"/>
    <w:rsid w:val="08C77E3F"/>
    <w:rsid w:val="08CD1DB4"/>
    <w:rsid w:val="09107131"/>
    <w:rsid w:val="09201B33"/>
    <w:rsid w:val="09296436"/>
    <w:rsid w:val="092D16B3"/>
    <w:rsid w:val="094814B0"/>
    <w:rsid w:val="095170B4"/>
    <w:rsid w:val="09583077"/>
    <w:rsid w:val="09A13533"/>
    <w:rsid w:val="09C61AA0"/>
    <w:rsid w:val="09C7503C"/>
    <w:rsid w:val="09D246F9"/>
    <w:rsid w:val="09D75222"/>
    <w:rsid w:val="0A003617"/>
    <w:rsid w:val="0A4A4530"/>
    <w:rsid w:val="0A776E6B"/>
    <w:rsid w:val="0A912564"/>
    <w:rsid w:val="0A9D3244"/>
    <w:rsid w:val="0AA918F6"/>
    <w:rsid w:val="0AB91C4A"/>
    <w:rsid w:val="0AD03497"/>
    <w:rsid w:val="0AEE613B"/>
    <w:rsid w:val="0AFE3CDA"/>
    <w:rsid w:val="0B150623"/>
    <w:rsid w:val="0B3F17CE"/>
    <w:rsid w:val="0B4045A2"/>
    <w:rsid w:val="0B541897"/>
    <w:rsid w:val="0B6C0C27"/>
    <w:rsid w:val="0BBB2A7F"/>
    <w:rsid w:val="0BF437F6"/>
    <w:rsid w:val="0C0B4ADE"/>
    <w:rsid w:val="0C381FD2"/>
    <w:rsid w:val="0CB37520"/>
    <w:rsid w:val="0CE64DC3"/>
    <w:rsid w:val="0D342764"/>
    <w:rsid w:val="0D4C5D3E"/>
    <w:rsid w:val="0D7778B4"/>
    <w:rsid w:val="0D946E3E"/>
    <w:rsid w:val="0D9630F9"/>
    <w:rsid w:val="0DA7735F"/>
    <w:rsid w:val="0DBD4340"/>
    <w:rsid w:val="0DF9026F"/>
    <w:rsid w:val="0E152030"/>
    <w:rsid w:val="0E257E4A"/>
    <w:rsid w:val="0E26679B"/>
    <w:rsid w:val="0E300D78"/>
    <w:rsid w:val="0E3B4AE5"/>
    <w:rsid w:val="0E5660B8"/>
    <w:rsid w:val="0E71409A"/>
    <w:rsid w:val="0ED416A7"/>
    <w:rsid w:val="0EF80F8C"/>
    <w:rsid w:val="0EFC0113"/>
    <w:rsid w:val="0F2A0855"/>
    <w:rsid w:val="0F552991"/>
    <w:rsid w:val="0F585296"/>
    <w:rsid w:val="0F6027E0"/>
    <w:rsid w:val="0F895157"/>
    <w:rsid w:val="100D21F4"/>
    <w:rsid w:val="1014149A"/>
    <w:rsid w:val="101D2D75"/>
    <w:rsid w:val="10391FE4"/>
    <w:rsid w:val="10641BAE"/>
    <w:rsid w:val="10845FC8"/>
    <w:rsid w:val="109D44E0"/>
    <w:rsid w:val="10F4699B"/>
    <w:rsid w:val="110554D8"/>
    <w:rsid w:val="11310107"/>
    <w:rsid w:val="117254FD"/>
    <w:rsid w:val="117C3D71"/>
    <w:rsid w:val="119A4219"/>
    <w:rsid w:val="11DC30BB"/>
    <w:rsid w:val="11F87A89"/>
    <w:rsid w:val="11F957E2"/>
    <w:rsid w:val="126C21BC"/>
    <w:rsid w:val="126C22D0"/>
    <w:rsid w:val="1288698D"/>
    <w:rsid w:val="12E004B7"/>
    <w:rsid w:val="12F9324E"/>
    <w:rsid w:val="13045644"/>
    <w:rsid w:val="13325FAA"/>
    <w:rsid w:val="1337522C"/>
    <w:rsid w:val="13811ED2"/>
    <w:rsid w:val="13857CD0"/>
    <w:rsid w:val="13A75321"/>
    <w:rsid w:val="142D4897"/>
    <w:rsid w:val="1437007C"/>
    <w:rsid w:val="143A3383"/>
    <w:rsid w:val="143B5306"/>
    <w:rsid w:val="14523FEA"/>
    <w:rsid w:val="14534743"/>
    <w:rsid w:val="14827F2E"/>
    <w:rsid w:val="148F6F91"/>
    <w:rsid w:val="14C600D3"/>
    <w:rsid w:val="14CE7C38"/>
    <w:rsid w:val="14DB2B04"/>
    <w:rsid w:val="14EC2DA1"/>
    <w:rsid w:val="15217C19"/>
    <w:rsid w:val="154D52B5"/>
    <w:rsid w:val="15556A75"/>
    <w:rsid w:val="155C15D9"/>
    <w:rsid w:val="157D7D99"/>
    <w:rsid w:val="15916C3E"/>
    <w:rsid w:val="15940571"/>
    <w:rsid w:val="159C38FF"/>
    <w:rsid w:val="15A90C7F"/>
    <w:rsid w:val="15CD76CF"/>
    <w:rsid w:val="15DB4C00"/>
    <w:rsid w:val="15E03592"/>
    <w:rsid w:val="15E521F0"/>
    <w:rsid w:val="15FD66C7"/>
    <w:rsid w:val="16AF031C"/>
    <w:rsid w:val="16BB2641"/>
    <w:rsid w:val="16C43504"/>
    <w:rsid w:val="16F87D55"/>
    <w:rsid w:val="1717283D"/>
    <w:rsid w:val="177747CA"/>
    <w:rsid w:val="179B4C0B"/>
    <w:rsid w:val="17CA43BE"/>
    <w:rsid w:val="181C7949"/>
    <w:rsid w:val="183A6127"/>
    <w:rsid w:val="18672698"/>
    <w:rsid w:val="186E25A6"/>
    <w:rsid w:val="18B11EB3"/>
    <w:rsid w:val="18B741FA"/>
    <w:rsid w:val="18B86820"/>
    <w:rsid w:val="18C467CE"/>
    <w:rsid w:val="18D5020A"/>
    <w:rsid w:val="18EA5AFC"/>
    <w:rsid w:val="18EB5703"/>
    <w:rsid w:val="18ED6369"/>
    <w:rsid w:val="19193449"/>
    <w:rsid w:val="195A10AA"/>
    <w:rsid w:val="196D72B6"/>
    <w:rsid w:val="19805754"/>
    <w:rsid w:val="19824538"/>
    <w:rsid w:val="198E1909"/>
    <w:rsid w:val="19A1480B"/>
    <w:rsid w:val="19A16DCE"/>
    <w:rsid w:val="19B675AC"/>
    <w:rsid w:val="19CE66EA"/>
    <w:rsid w:val="19F36E00"/>
    <w:rsid w:val="19F83C90"/>
    <w:rsid w:val="19FC228F"/>
    <w:rsid w:val="1A2416AA"/>
    <w:rsid w:val="1A52487A"/>
    <w:rsid w:val="1A5C039F"/>
    <w:rsid w:val="1A605E0F"/>
    <w:rsid w:val="1AAC280A"/>
    <w:rsid w:val="1AAC5DEA"/>
    <w:rsid w:val="1AAE5CB9"/>
    <w:rsid w:val="1AB412EB"/>
    <w:rsid w:val="1AB51BF3"/>
    <w:rsid w:val="1ACE54EE"/>
    <w:rsid w:val="1ADE0819"/>
    <w:rsid w:val="1AE477EF"/>
    <w:rsid w:val="1AEE0F84"/>
    <w:rsid w:val="1B261857"/>
    <w:rsid w:val="1B377E7A"/>
    <w:rsid w:val="1B815C61"/>
    <w:rsid w:val="1BB833EE"/>
    <w:rsid w:val="1BB9434A"/>
    <w:rsid w:val="1BBA42E0"/>
    <w:rsid w:val="1BC66134"/>
    <w:rsid w:val="1BDF1772"/>
    <w:rsid w:val="1BE261C7"/>
    <w:rsid w:val="1BE45983"/>
    <w:rsid w:val="1BF524AC"/>
    <w:rsid w:val="1C0451F7"/>
    <w:rsid w:val="1C0539C5"/>
    <w:rsid w:val="1C107136"/>
    <w:rsid w:val="1C565725"/>
    <w:rsid w:val="1C573359"/>
    <w:rsid w:val="1C5D5A5E"/>
    <w:rsid w:val="1C692B36"/>
    <w:rsid w:val="1C8F459A"/>
    <w:rsid w:val="1C974111"/>
    <w:rsid w:val="1CAC426C"/>
    <w:rsid w:val="1CB02FC1"/>
    <w:rsid w:val="1CB6356E"/>
    <w:rsid w:val="1CEA1ECE"/>
    <w:rsid w:val="1CEE6E89"/>
    <w:rsid w:val="1CF07D97"/>
    <w:rsid w:val="1D0E3897"/>
    <w:rsid w:val="1D2E24EE"/>
    <w:rsid w:val="1D40104E"/>
    <w:rsid w:val="1D413D9E"/>
    <w:rsid w:val="1D42637C"/>
    <w:rsid w:val="1D4D5B5D"/>
    <w:rsid w:val="1D4E763C"/>
    <w:rsid w:val="1D785358"/>
    <w:rsid w:val="1D854D6B"/>
    <w:rsid w:val="1D941C0B"/>
    <w:rsid w:val="1D993257"/>
    <w:rsid w:val="1DB04998"/>
    <w:rsid w:val="1DB56A94"/>
    <w:rsid w:val="1DE63444"/>
    <w:rsid w:val="1DE65445"/>
    <w:rsid w:val="1DF20360"/>
    <w:rsid w:val="1E1A7C32"/>
    <w:rsid w:val="1E2139B5"/>
    <w:rsid w:val="1E643C10"/>
    <w:rsid w:val="1E663A5D"/>
    <w:rsid w:val="1E6D3054"/>
    <w:rsid w:val="1E861B9E"/>
    <w:rsid w:val="1E8E523E"/>
    <w:rsid w:val="1EDA25E0"/>
    <w:rsid w:val="1EEB6732"/>
    <w:rsid w:val="1F306180"/>
    <w:rsid w:val="1F9C0484"/>
    <w:rsid w:val="1FA63B3F"/>
    <w:rsid w:val="1FB629F7"/>
    <w:rsid w:val="1FBD3EB7"/>
    <w:rsid w:val="1FCB2281"/>
    <w:rsid w:val="204D32C3"/>
    <w:rsid w:val="205A5703"/>
    <w:rsid w:val="208C5717"/>
    <w:rsid w:val="20935865"/>
    <w:rsid w:val="20AD2D2D"/>
    <w:rsid w:val="20AF197B"/>
    <w:rsid w:val="20EB09AA"/>
    <w:rsid w:val="20F023EB"/>
    <w:rsid w:val="210072BA"/>
    <w:rsid w:val="210A14F9"/>
    <w:rsid w:val="21164686"/>
    <w:rsid w:val="21414265"/>
    <w:rsid w:val="21641F58"/>
    <w:rsid w:val="21645C77"/>
    <w:rsid w:val="217E6108"/>
    <w:rsid w:val="219E2F7B"/>
    <w:rsid w:val="21AB662C"/>
    <w:rsid w:val="21EB38EE"/>
    <w:rsid w:val="21EF7AD1"/>
    <w:rsid w:val="2233002E"/>
    <w:rsid w:val="22466CCE"/>
    <w:rsid w:val="22527349"/>
    <w:rsid w:val="22D11637"/>
    <w:rsid w:val="232C191D"/>
    <w:rsid w:val="23365FA2"/>
    <w:rsid w:val="235F6F54"/>
    <w:rsid w:val="239F3792"/>
    <w:rsid w:val="23D54FDA"/>
    <w:rsid w:val="23F44125"/>
    <w:rsid w:val="24221CB2"/>
    <w:rsid w:val="242D5D0D"/>
    <w:rsid w:val="243F39D2"/>
    <w:rsid w:val="244315FE"/>
    <w:rsid w:val="24442C0B"/>
    <w:rsid w:val="244B6843"/>
    <w:rsid w:val="245A6251"/>
    <w:rsid w:val="246D3A9C"/>
    <w:rsid w:val="247F30B9"/>
    <w:rsid w:val="248D1880"/>
    <w:rsid w:val="249D6F1D"/>
    <w:rsid w:val="24B02F92"/>
    <w:rsid w:val="24C55D86"/>
    <w:rsid w:val="24CA1835"/>
    <w:rsid w:val="24E57504"/>
    <w:rsid w:val="24EE59AE"/>
    <w:rsid w:val="2501650E"/>
    <w:rsid w:val="250C7DD4"/>
    <w:rsid w:val="251A1E33"/>
    <w:rsid w:val="2525793C"/>
    <w:rsid w:val="253E78FE"/>
    <w:rsid w:val="25481852"/>
    <w:rsid w:val="25640A35"/>
    <w:rsid w:val="256A7A53"/>
    <w:rsid w:val="25795FD0"/>
    <w:rsid w:val="25932F0F"/>
    <w:rsid w:val="25A71AF6"/>
    <w:rsid w:val="25C8750D"/>
    <w:rsid w:val="25CB02FA"/>
    <w:rsid w:val="25EB4217"/>
    <w:rsid w:val="25F62016"/>
    <w:rsid w:val="261C4372"/>
    <w:rsid w:val="26262433"/>
    <w:rsid w:val="265214C9"/>
    <w:rsid w:val="26576798"/>
    <w:rsid w:val="26580DF2"/>
    <w:rsid w:val="265F4E8E"/>
    <w:rsid w:val="26804CD4"/>
    <w:rsid w:val="2689699B"/>
    <w:rsid w:val="268B1F68"/>
    <w:rsid w:val="269B53B7"/>
    <w:rsid w:val="26E1579A"/>
    <w:rsid w:val="26FB214D"/>
    <w:rsid w:val="27197611"/>
    <w:rsid w:val="274A5570"/>
    <w:rsid w:val="274B3D1B"/>
    <w:rsid w:val="27A7275B"/>
    <w:rsid w:val="27C31474"/>
    <w:rsid w:val="27C749C7"/>
    <w:rsid w:val="27D273AB"/>
    <w:rsid w:val="27F00306"/>
    <w:rsid w:val="280678AC"/>
    <w:rsid w:val="28193DBE"/>
    <w:rsid w:val="28275C3C"/>
    <w:rsid w:val="283771EB"/>
    <w:rsid w:val="283A2748"/>
    <w:rsid w:val="284E2C7E"/>
    <w:rsid w:val="28586594"/>
    <w:rsid w:val="285B3EAA"/>
    <w:rsid w:val="285E65BD"/>
    <w:rsid w:val="286D7FCB"/>
    <w:rsid w:val="28B414BA"/>
    <w:rsid w:val="28C70724"/>
    <w:rsid w:val="28CD44AA"/>
    <w:rsid w:val="28F72D6B"/>
    <w:rsid w:val="28FB7232"/>
    <w:rsid w:val="2913698E"/>
    <w:rsid w:val="2941021D"/>
    <w:rsid w:val="29885C47"/>
    <w:rsid w:val="299F2E0E"/>
    <w:rsid w:val="29A44C7C"/>
    <w:rsid w:val="29B22047"/>
    <w:rsid w:val="29C3663A"/>
    <w:rsid w:val="29D57A4D"/>
    <w:rsid w:val="29E4694F"/>
    <w:rsid w:val="2A2E5802"/>
    <w:rsid w:val="2A3A2C4F"/>
    <w:rsid w:val="2A4C6346"/>
    <w:rsid w:val="2A6A334E"/>
    <w:rsid w:val="2A8127C4"/>
    <w:rsid w:val="2A9D4E34"/>
    <w:rsid w:val="2AA21EFB"/>
    <w:rsid w:val="2AAC2D8A"/>
    <w:rsid w:val="2AAC6B84"/>
    <w:rsid w:val="2B211141"/>
    <w:rsid w:val="2B3E5958"/>
    <w:rsid w:val="2B51490E"/>
    <w:rsid w:val="2B53216A"/>
    <w:rsid w:val="2B737674"/>
    <w:rsid w:val="2B747A9C"/>
    <w:rsid w:val="2B787054"/>
    <w:rsid w:val="2B7A52BB"/>
    <w:rsid w:val="2B9019B6"/>
    <w:rsid w:val="2BB22167"/>
    <w:rsid w:val="2BB961CB"/>
    <w:rsid w:val="2BBE72E9"/>
    <w:rsid w:val="2BF116C2"/>
    <w:rsid w:val="2C203899"/>
    <w:rsid w:val="2C205708"/>
    <w:rsid w:val="2C513986"/>
    <w:rsid w:val="2C5863F3"/>
    <w:rsid w:val="2C7B41CE"/>
    <w:rsid w:val="2C844C60"/>
    <w:rsid w:val="2C977C8C"/>
    <w:rsid w:val="2CD36518"/>
    <w:rsid w:val="2D0327B9"/>
    <w:rsid w:val="2D067B32"/>
    <w:rsid w:val="2D306520"/>
    <w:rsid w:val="2D82594D"/>
    <w:rsid w:val="2D991BCA"/>
    <w:rsid w:val="2DA73087"/>
    <w:rsid w:val="2DAB6DF7"/>
    <w:rsid w:val="2DBF3926"/>
    <w:rsid w:val="2E036DCB"/>
    <w:rsid w:val="2E141131"/>
    <w:rsid w:val="2E1807C0"/>
    <w:rsid w:val="2E1C587F"/>
    <w:rsid w:val="2E3F24A0"/>
    <w:rsid w:val="2E693059"/>
    <w:rsid w:val="2E8E2DB2"/>
    <w:rsid w:val="2EA138AC"/>
    <w:rsid w:val="2EAD2045"/>
    <w:rsid w:val="2F1247DB"/>
    <w:rsid w:val="2F37C68B"/>
    <w:rsid w:val="2F480D61"/>
    <w:rsid w:val="2F6D71F2"/>
    <w:rsid w:val="2F774023"/>
    <w:rsid w:val="2F77426B"/>
    <w:rsid w:val="2F8657ED"/>
    <w:rsid w:val="2F882A07"/>
    <w:rsid w:val="2F9028FF"/>
    <w:rsid w:val="2FCC2100"/>
    <w:rsid w:val="2FE501B2"/>
    <w:rsid w:val="2FFA35A7"/>
    <w:rsid w:val="301A04A0"/>
    <w:rsid w:val="301D6A7C"/>
    <w:rsid w:val="3030509B"/>
    <w:rsid w:val="30365631"/>
    <w:rsid w:val="30816C39"/>
    <w:rsid w:val="30C819BA"/>
    <w:rsid w:val="30C967E8"/>
    <w:rsid w:val="30D158E9"/>
    <w:rsid w:val="30EA39C4"/>
    <w:rsid w:val="30EE3A80"/>
    <w:rsid w:val="30F92057"/>
    <w:rsid w:val="31064460"/>
    <w:rsid w:val="31083FA9"/>
    <w:rsid w:val="313311D9"/>
    <w:rsid w:val="31476CBA"/>
    <w:rsid w:val="31543570"/>
    <w:rsid w:val="318B73D2"/>
    <w:rsid w:val="31954293"/>
    <w:rsid w:val="31B33BCE"/>
    <w:rsid w:val="31CA7A25"/>
    <w:rsid w:val="31D01F97"/>
    <w:rsid w:val="32206BA5"/>
    <w:rsid w:val="32256EBE"/>
    <w:rsid w:val="32344F5E"/>
    <w:rsid w:val="3241637C"/>
    <w:rsid w:val="32510975"/>
    <w:rsid w:val="32516195"/>
    <w:rsid w:val="325C5CBE"/>
    <w:rsid w:val="328A79FB"/>
    <w:rsid w:val="32B2377B"/>
    <w:rsid w:val="32E465C1"/>
    <w:rsid w:val="32FD5940"/>
    <w:rsid w:val="33157E36"/>
    <w:rsid w:val="335435DF"/>
    <w:rsid w:val="337F0119"/>
    <w:rsid w:val="339D74E6"/>
    <w:rsid w:val="33A97E4A"/>
    <w:rsid w:val="33AF4FA0"/>
    <w:rsid w:val="33C13B31"/>
    <w:rsid w:val="33E026BE"/>
    <w:rsid w:val="33E472E7"/>
    <w:rsid w:val="33E57289"/>
    <w:rsid w:val="33F126B8"/>
    <w:rsid w:val="33F622D4"/>
    <w:rsid w:val="34296E64"/>
    <w:rsid w:val="34823EAA"/>
    <w:rsid w:val="34AF537F"/>
    <w:rsid w:val="34B00DE2"/>
    <w:rsid w:val="34D5021F"/>
    <w:rsid w:val="34D76869"/>
    <w:rsid w:val="34F168D8"/>
    <w:rsid w:val="350A010A"/>
    <w:rsid w:val="3511104F"/>
    <w:rsid w:val="35233D33"/>
    <w:rsid w:val="352572D9"/>
    <w:rsid w:val="353A578A"/>
    <w:rsid w:val="357A0C0F"/>
    <w:rsid w:val="35933EC6"/>
    <w:rsid w:val="3597041E"/>
    <w:rsid w:val="35DA23C2"/>
    <w:rsid w:val="35ED56DB"/>
    <w:rsid w:val="35F770DA"/>
    <w:rsid w:val="361D2715"/>
    <w:rsid w:val="36500DA1"/>
    <w:rsid w:val="36520E4D"/>
    <w:rsid w:val="366A5B1D"/>
    <w:rsid w:val="36905762"/>
    <w:rsid w:val="36B9168A"/>
    <w:rsid w:val="36EC7CF0"/>
    <w:rsid w:val="36F308F0"/>
    <w:rsid w:val="37112FE3"/>
    <w:rsid w:val="371936FB"/>
    <w:rsid w:val="372F0095"/>
    <w:rsid w:val="373419E1"/>
    <w:rsid w:val="37591EAA"/>
    <w:rsid w:val="37643EED"/>
    <w:rsid w:val="3775533D"/>
    <w:rsid w:val="379A683F"/>
    <w:rsid w:val="37A073B4"/>
    <w:rsid w:val="37A422F0"/>
    <w:rsid w:val="37C3688D"/>
    <w:rsid w:val="37E7AEDF"/>
    <w:rsid w:val="3869575E"/>
    <w:rsid w:val="38835683"/>
    <w:rsid w:val="38BD4FC5"/>
    <w:rsid w:val="38DD1949"/>
    <w:rsid w:val="38E214B6"/>
    <w:rsid w:val="38E42EA0"/>
    <w:rsid w:val="390668A6"/>
    <w:rsid w:val="391E10C0"/>
    <w:rsid w:val="3926518E"/>
    <w:rsid w:val="393D26B7"/>
    <w:rsid w:val="3942745E"/>
    <w:rsid w:val="3953758B"/>
    <w:rsid w:val="39561F99"/>
    <w:rsid w:val="39626F5B"/>
    <w:rsid w:val="397C1053"/>
    <w:rsid w:val="39B20995"/>
    <w:rsid w:val="39B55E31"/>
    <w:rsid w:val="39B73687"/>
    <w:rsid w:val="39C5476E"/>
    <w:rsid w:val="39E02B30"/>
    <w:rsid w:val="39E944A9"/>
    <w:rsid w:val="3A0F4D84"/>
    <w:rsid w:val="3A122008"/>
    <w:rsid w:val="3A152B3D"/>
    <w:rsid w:val="3A1F5C1F"/>
    <w:rsid w:val="3A386C38"/>
    <w:rsid w:val="3AFA14F6"/>
    <w:rsid w:val="3B0324CA"/>
    <w:rsid w:val="3B2241DE"/>
    <w:rsid w:val="3B3D4830"/>
    <w:rsid w:val="3B57325D"/>
    <w:rsid w:val="3B5D2AD8"/>
    <w:rsid w:val="3B6C1BC6"/>
    <w:rsid w:val="3B8068DD"/>
    <w:rsid w:val="3BAA42AC"/>
    <w:rsid w:val="3BBA0165"/>
    <w:rsid w:val="3C204D34"/>
    <w:rsid w:val="3C3478A9"/>
    <w:rsid w:val="3C4B17D7"/>
    <w:rsid w:val="3C566045"/>
    <w:rsid w:val="3C6A642C"/>
    <w:rsid w:val="3C7F5AE1"/>
    <w:rsid w:val="3C9267A8"/>
    <w:rsid w:val="3CA32F69"/>
    <w:rsid w:val="3CB23210"/>
    <w:rsid w:val="3CCB28FB"/>
    <w:rsid w:val="3D00329D"/>
    <w:rsid w:val="3D1D034B"/>
    <w:rsid w:val="3D251618"/>
    <w:rsid w:val="3D256065"/>
    <w:rsid w:val="3D397A69"/>
    <w:rsid w:val="3D5D32F3"/>
    <w:rsid w:val="3D874DE7"/>
    <w:rsid w:val="3DBD54D7"/>
    <w:rsid w:val="3DC54F8B"/>
    <w:rsid w:val="3E164A1D"/>
    <w:rsid w:val="3E5C581E"/>
    <w:rsid w:val="3EC55B93"/>
    <w:rsid w:val="3EE43E2B"/>
    <w:rsid w:val="3EE918C9"/>
    <w:rsid w:val="3F031289"/>
    <w:rsid w:val="3F0A450B"/>
    <w:rsid w:val="3F0D2449"/>
    <w:rsid w:val="3F164552"/>
    <w:rsid w:val="3F381312"/>
    <w:rsid w:val="3F565E51"/>
    <w:rsid w:val="3F682F36"/>
    <w:rsid w:val="3F8973AA"/>
    <w:rsid w:val="3F967E0D"/>
    <w:rsid w:val="3F996972"/>
    <w:rsid w:val="3F9B2476"/>
    <w:rsid w:val="3F9C5E25"/>
    <w:rsid w:val="3FCC6D88"/>
    <w:rsid w:val="3FCD52D8"/>
    <w:rsid w:val="3FE00ECB"/>
    <w:rsid w:val="3FE1565C"/>
    <w:rsid w:val="3FFB1DE6"/>
    <w:rsid w:val="400E4A2F"/>
    <w:rsid w:val="4030215D"/>
    <w:rsid w:val="40327A43"/>
    <w:rsid w:val="40383C57"/>
    <w:rsid w:val="406A6D85"/>
    <w:rsid w:val="40803BAF"/>
    <w:rsid w:val="40811F30"/>
    <w:rsid w:val="40E86E29"/>
    <w:rsid w:val="40F6759A"/>
    <w:rsid w:val="4125648C"/>
    <w:rsid w:val="413E5790"/>
    <w:rsid w:val="41432933"/>
    <w:rsid w:val="4150585D"/>
    <w:rsid w:val="41536692"/>
    <w:rsid w:val="415B6E53"/>
    <w:rsid w:val="41693992"/>
    <w:rsid w:val="41747723"/>
    <w:rsid w:val="41831569"/>
    <w:rsid w:val="41A14288"/>
    <w:rsid w:val="41C13981"/>
    <w:rsid w:val="41E066FD"/>
    <w:rsid w:val="41ED1A1E"/>
    <w:rsid w:val="41EF7191"/>
    <w:rsid w:val="423D70CD"/>
    <w:rsid w:val="424405B1"/>
    <w:rsid w:val="424647FB"/>
    <w:rsid w:val="42495720"/>
    <w:rsid w:val="424A51AF"/>
    <w:rsid w:val="424C258D"/>
    <w:rsid w:val="425E1239"/>
    <w:rsid w:val="427925B2"/>
    <w:rsid w:val="428B4AD9"/>
    <w:rsid w:val="42921F2C"/>
    <w:rsid w:val="42AB1196"/>
    <w:rsid w:val="42EC7284"/>
    <w:rsid w:val="42F663F6"/>
    <w:rsid w:val="43157BED"/>
    <w:rsid w:val="431B6AB0"/>
    <w:rsid w:val="433810DF"/>
    <w:rsid w:val="43565300"/>
    <w:rsid w:val="4373601F"/>
    <w:rsid w:val="438207B4"/>
    <w:rsid w:val="438E73CD"/>
    <w:rsid w:val="43B95A8D"/>
    <w:rsid w:val="43BF45D2"/>
    <w:rsid w:val="43C65D50"/>
    <w:rsid w:val="43D10891"/>
    <w:rsid w:val="44023921"/>
    <w:rsid w:val="44215D10"/>
    <w:rsid w:val="44910774"/>
    <w:rsid w:val="44A04835"/>
    <w:rsid w:val="44B64C57"/>
    <w:rsid w:val="44BE4EBE"/>
    <w:rsid w:val="44C3719C"/>
    <w:rsid w:val="44DA7124"/>
    <w:rsid w:val="45531B65"/>
    <w:rsid w:val="456B59B7"/>
    <w:rsid w:val="457D515E"/>
    <w:rsid w:val="45B2712E"/>
    <w:rsid w:val="45BA3A61"/>
    <w:rsid w:val="45C152FF"/>
    <w:rsid w:val="45D2473B"/>
    <w:rsid w:val="45E50338"/>
    <w:rsid w:val="460D050D"/>
    <w:rsid w:val="4620731C"/>
    <w:rsid w:val="46417888"/>
    <w:rsid w:val="46500633"/>
    <w:rsid w:val="467B4A57"/>
    <w:rsid w:val="46881FC9"/>
    <w:rsid w:val="46947AD4"/>
    <w:rsid w:val="46AF0125"/>
    <w:rsid w:val="46CF4E65"/>
    <w:rsid w:val="46FF168A"/>
    <w:rsid w:val="47067CDC"/>
    <w:rsid w:val="471001CD"/>
    <w:rsid w:val="4717517D"/>
    <w:rsid w:val="477A6D55"/>
    <w:rsid w:val="47886504"/>
    <w:rsid w:val="47A52A24"/>
    <w:rsid w:val="47B01CA8"/>
    <w:rsid w:val="47BA52E9"/>
    <w:rsid w:val="47CA1B28"/>
    <w:rsid w:val="47DA3832"/>
    <w:rsid w:val="47DA75C4"/>
    <w:rsid w:val="47EF4AF2"/>
    <w:rsid w:val="48036DC6"/>
    <w:rsid w:val="48066AE3"/>
    <w:rsid w:val="48103433"/>
    <w:rsid w:val="481F3584"/>
    <w:rsid w:val="48732A26"/>
    <w:rsid w:val="48863B52"/>
    <w:rsid w:val="48CA6CEB"/>
    <w:rsid w:val="48CB40F7"/>
    <w:rsid w:val="48EE709E"/>
    <w:rsid w:val="48FE7B35"/>
    <w:rsid w:val="491C2E26"/>
    <w:rsid w:val="49617A9C"/>
    <w:rsid w:val="49A279C9"/>
    <w:rsid w:val="49C252C3"/>
    <w:rsid w:val="49EB737C"/>
    <w:rsid w:val="4A1226EA"/>
    <w:rsid w:val="4A607863"/>
    <w:rsid w:val="4A720DEF"/>
    <w:rsid w:val="4A8C3CCB"/>
    <w:rsid w:val="4A910BB6"/>
    <w:rsid w:val="4AB710B6"/>
    <w:rsid w:val="4AE35975"/>
    <w:rsid w:val="4AF22822"/>
    <w:rsid w:val="4B03325C"/>
    <w:rsid w:val="4B034420"/>
    <w:rsid w:val="4B080567"/>
    <w:rsid w:val="4B1102E0"/>
    <w:rsid w:val="4B174F0D"/>
    <w:rsid w:val="4B395E46"/>
    <w:rsid w:val="4B3D728C"/>
    <w:rsid w:val="4B3E3568"/>
    <w:rsid w:val="4B751092"/>
    <w:rsid w:val="4B880DC6"/>
    <w:rsid w:val="4B901952"/>
    <w:rsid w:val="4B93018F"/>
    <w:rsid w:val="4B950D85"/>
    <w:rsid w:val="4BB70133"/>
    <w:rsid w:val="4BB969B2"/>
    <w:rsid w:val="4BD8229A"/>
    <w:rsid w:val="4BE20822"/>
    <w:rsid w:val="4BE96463"/>
    <w:rsid w:val="4C437118"/>
    <w:rsid w:val="4C4E6AE8"/>
    <w:rsid w:val="4C5B0BF9"/>
    <w:rsid w:val="4C843D79"/>
    <w:rsid w:val="4C872E0E"/>
    <w:rsid w:val="4CF45174"/>
    <w:rsid w:val="4D0C0FFE"/>
    <w:rsid w:val="4D4325F3"/>
    <w:rsid w:val="4D491E17"/>
    <w:rsid w:val="4D695E6D"/>
    <w:rsid w:val="4DB643CB"/>
    <w:rsid w:val="4DC844A5"/>
    <w:rsid w:val="4DED0200"/>
    <w:rsid w:val="4DF6572E"/>
    <w:rsid w:val="4E115D88"/>
    <w:rsid w:val="4E1F1FBE"/>
    <w:rsid w:val="4E2A30E2"/>
    <w:rsid w:val="4E3E691F"/>
    <w:rsid w:val="4E4258AA"/>
    <w:rsid w:val="4E482D62"/>
    <w:rsid w:val="4E6E2232"/>
    <w:rsid w:val="4E817BA0"/>
    <w:rsid w:val="4E975CCE"/>
    <w:rsid w:val="4E984C71"/>
    <w:rsid w:val="4E9F7164"/>
    <w:rsid w:val="4EBF0EDD"/>
    <w:rsid w:val="4ED27B28"/>
    <w:rsid w:val="4F214028"/>
    <w:rsid w:val="4F353D4F"/>
    <w:rsid w:val="4F36280A"/>
    <w:rsid w:val="4F3E0ABB"/>
    <w:rsid w:val="4F43387B"/>
    <w:rsid w:val="4F471F6D"/>
    <w:rsid w:val="4F7725B8"/>
    <w:rsid w:val="4F8139F5"/>
    <w:rsid w:val="4FE321CC"/>
    <w:rsid w:val="4FE348C4"/>
    <w:rsid w:val="50167BC8"/>
    <w:rsid w:val="502A1AAA"/>
    <w:rsid w:val="503553E9"/>
    <w:rsid w:val="503D462E"/>
    <w:rsid w:val="506F383B"/>
    <w:rsid w:val="50935FAD"/>
    <w:rsid w:val="50996261"/>
    <w:rsid w:val="50E36E31"/>
    <w:rsid w:val="51130336"/>
    <w:rsid w:val="5115259A"/>
    <w:rsid w:val="515577F3"/>
    <w:rsid w:val="51595A51"/>
    <w:rsid w:val="516B6C61"/>
    <w:rsid w:val="51A4718D"/>
    <w:rsid w:val="51B95D1A"/>
    <w:rsid w:val="51CC7712"/>
    <w:rsid w:val="51FD4236"/>
    <w:rsid w:val="521262B3"/>
    <w:rsid w:val="522F1900"/>
    <w:rsid w:val="523B6557"/>
    <w:rsid w:val="52833EAB"/>
    <w:rsid w:val="52A05179"/>
    <w:rsid w:val="52CF2F5E"/>
    <w:rsid w:val="533911FE"/>
    <w:rsid w:val="533D7138"/>
    <w:rsid w:val="538224F7"/>
    <w:rsid w:val="53AB1795"/>
    <w:rsid w:val="53D21BC2"/>
    <w:rsid w:val="53ED5EC0"/>
    <w:rsid w:val="54080717"/>
    <w:rsid w:val="54291125"/>
    <w:rsid w:val="542D7B59"/>
    <w:rsid w:val="546E7037"/>
    <w:rsid w:val="54A75147"/>
    <w:rsid w:val="54DE26F6"/>
    <w:rsid w:val="54E20BD4"/>
    <w:rsid w:val="5516257F"/>
    <w:rsid w:val="55381567"/>
    <w:rsid w:val="554C0C40"/>
    <w:rsid w:val="557529B5"/>
    <w:rsid w:val="55817434"/>
    <w:rsid w:val="559575BC"/>
    <w:rsid w:val="55B56B1C"/>
    <w:rsid w:val="55BB0C38"/>
    <w:rsid w:val="55DC5B39"/>
    <w:rsid w:val="55EF4FBA"/>
    <w:rsid w:val="5616083A"/>
    <w:rsid w:val="56163AF7"/>
    <w:rsid w:val="564E34FB"/>
    <w:rsid w:val="5676179D"/>
    <w:rsid w:val="5693298C"/>
    <w:rsid w:val="56967522"/>
    <w:rsid w:val="569777EC"/>
    <w:rsid w:val="56A04A14"/>
    <w:rsid w:val="56CE69DB"/>
    <w:rsid w:val="56DB62E0"/>
    <w:rsid w:val="56F10DD7"/>
    <w:rsid w:val="56F2411E"/>
    <w:rsid w:val="570834B0"/>
    <w:rsid w:val="570C35E6"/>
    <w:rsid w:val="57313012"/>
    <w:rsid w:val="57557CD8"/>
    <w:rsid w:val="57743571"/>
    <w:rsid w:val="5794663A"/>
    <w:rsid w:val="57957945"/>
    <w:rsid w:val="57AE4F4D"/>
    <w:rsid w:val="57BC4B6E"/>
    <w:rsid w:val="57DC6A07"/>
    <w:rsid w:val="57E2428F"/>
    <w:rsid w:val="57E60EB3"/>
    <w:rsid w:val="580150F3"/>
    <w:rsid w:val="580F0E12"/>
    <w:rsid w:val="583B50E7"/>
    <w:rsid w:val="583C2726"/>
    <w:rsid w:val="586A3986"/>
    <w:rsid w:val="58720B95"/>
    <w:rsid w:val="58812C57"/>
    <w:rsid w:val="588A7FB2"/>
    <w:rsid w:val="588E5FFF"/>
    <w:rsid w:val="58B32D91"/>
    <w:rsid w:val="58D24708"/>
    <w:rsid w:val="58DC0EFD"/>
    <w:rsid w:val="58E3472B"/>
    <w:rsid w:val="58EE1290"/>
    <w:rsid w:val="58F04240"/>
    <w:rsid w:val="593360B7"/>
    <w:rsid w:val="59525BB9"/>
    <w:rsid w:val="5959164F"/>
    <w:rsid w:val="59902480"/>
    <w:rsid w:val="59AA5F2D"/>
    <w:rsid w:val="59BF42E0"/>
    <w:rsid w:val="59C96F78"/>
    <w:rsid w:val="59CF57F8"/>
    <w:rsid w:val="59D973A6"/>
    <w:rsid w:val="5A0B13B5"/>
    <w:rsid w:val="5A6A7B88"/>
    <w:rsid w:val="5A6C38FE"/>
    <w:rsid w:val="5A6E1E7B"/>
    <w:rsid w:val="5A857002"/>
    <w:rsid w:val="5AA750BD"/>
    <w:rsid w:val="5AAB7D9C"/>
    <w:rsid w:val="5AAC69B6"/>
    <w:rsid w:val="5AB71DDE"/>
    <w:rsid w:val="5AC17B46"/>
    <w:rsid w:val="5AF23E46"/>
    <w:rsid w:val="5AF653E5"/>
    <w:rsid w:val="5AF71E7E"/>
    <w:rsid w:val="5B147D45"/>
    <w:rsid w:val="5B2E354A"/>
    <w:rsid w:val="5B44613F"/>
    <w:rsid w:val="5B472A4A"/>
    <w:rsid w:val="5B522BA4"/>
    <w:rsid w:val="5B821EFC"/>
    <w:rsid w:val="5B9B0A13"/>
    <w:rsid w:val="5BA61322"/>
    <w:rsid w:val="5BCF528B"/>
    <w:rsid w:val="5C02696F"/>
    <w:rsid w:val="5C071A0E"/>
    <w:rsid w:val="5C1E1812"/>
    <w:rsid w:val="5C2D6318"/>
    <w:rsid w:val="5C5E007E"/>
    <w:rsid w:val="5C791BD4"/>
    <w:rsid w:val="5C7D48FF"/>
    <w:rsid w:val="5C7F5222"/>
    <w:rsid w:val="5CA26AF7"/>
    <w:rsid w:val="5CA77CE5"/>
    <w:rsid w:val="5CC10360"/>
    <w:rsid w:val="5CD84B26"/>
    <w:rsid w:val="5CDE3FF2"/>
    <w:rsid w:val="5CF6198E"/>
    <w:rsid w:val="5D135656"/>
    <w:rsid w:val="5D1D7BCF"/>
    <w:rsid w:val="5D582662"/>
    <w:rsid w:val="5D8D62D9"/>
    <w:rsid w:val="5DC1753D"/>
    <w:rsid w:val="5DCF3FEE"/>
    <w:rsid w:val="5DDE1787"/>
    <w:rsid w:val="5DF1489C"/>
    <w:rsid w:val="5E0B7D2B"/>
    <w:rsid w:val="5E184A64"/>
    <w:rsid w:val="5E19769D"/>
    <w:rsid w:val="5E2B028A"/>
    <w:rsid w:val="5E762642"/>
    <w:rsid w:val="5E9D0152"/>
    <w:rsid w:val="5EEC586E"/>
    <w:rsid w:val="5F2847DE"/>
    <w:rsid w:val="5F3D4EFC"/>
    <w:rsid w:val="5F816411"/>
    <w:rsid w:val="5F84487C"/>
    <w:rsid w:val="5F947AE1"/>
    <w:rsid w:val="5FAB5682"/>
    <w:rsid w:val="5FB61382"/>
    <w:rsid w:val="5FCE56F1"/>
    <w:rsid w:val="5FD64E98"/>
    <w:rsid w:val="5FE05B16"/>
    <w:rsid w:val="60047719"/>
    <w:rsid w:val="600B1A90"/>
    <w:rsid w:val="60133C97"/>
    <w:rsid w:val="602B1DB9"/>
    <w:rsid w:val="60373B84"/>
    <w:rsid w:val="603B6A04"/>
    <w:rsid w:val="607A1BCD"/>
    <w:rsid w:val="607E2E7A"/>
    <w:rsid w:val="608A2A2D"/>
    <w:rsid w:val="608E588B"/>
    <w:rsid w:val="60AB1E2C"/>
    <w:rsid w:val="60AC1B8B"/>
    <w:rsid w:val="60BA174C"/>
    <w:rsid w:val="60EC608A"/>
    <w:rsid w:val="61020EBD"/>
    <w:rsid w:val="61107044"/>
    <w:rsid w:val="611206BF"/>
    <w:rsid w:val="61392A38"/>
    <w:rsid w:val="614A3330"/>
    <w:rsid w:val="614B4430"/>
    <w:rsid w:val="61A309EB"/>
    <w:rsid w:val="61AD29A8"/>
    <w:rsid w:val="61AE0A5B"/>
    <w:rsid w:val="61AF2294"/>
    <w:rsid w:val="61D33A7D"/>
    <w:rsid w:val="61D6252B"/>
    <w:rsid w:val="61F77013"/>
    <w:rsid w:val="62045687"/>
    <w:rsid w:val="6208007A"/>
    <w:rsid w:val="620C2D4C"/>
    <w:rsid w:val="62157DA2"/>
    <w:rsid w:val="624173D6"/>
    <w:rsid w:val="6257583F"/>
    <w:rsid w:val="6260521E"/>
    <w:rsid w:val="629B7035"/>
    <w:rsid w:val="62D649CB"/>
    <w:rsid w:val="63137FAB"/>
    <w:rsid w:val="63204427"/>
    <w:rsid w:val="63283741"/>
    <w:rsid w:val="636C62F1"/>
    <w:rsid w:val="63AC45B4"/>
    <w:rsid w:val="63D52354"/>
    <w:rsid w:val="63E75D4E"/>
    <w:rsid w:val="641E26C1"/>
    <w:rsid w:val="64534B15"/>
    <w:rsid w:val="648D5013"/>
    <w:rsid w:val="64956869"/>
    <w:rsid w:val="64B95EDB"/>
    <w:rsid w:val="64D03EE9"/>
    <w:rsid w:val="64D50819"/>
    <w:rsid w:val="64DA13C3"/>
    <w:rsid w:val="64EF1CC3"/>
    <w:rsid w:val="64F25C99"/>
    <w:rsid w:val="650D41F1"/>
    <w:rsid w:val="650D4608"/>
    <w:rsid w:val="651035A3"/>
    <w:rsid w:val="655C179C"/>
    <w:rsid w:val="65827FD1"/>
    <w:rsid w:val="65A00F7A"/>
    <w:rsid w:val="65E74982"/>
    <w:rsid w:val="66054201"/>
    <w:rsid w:val="661333B3"/>
    <w:rsid w:val="661F1D72"/>
    <w:rsid w:val="6635448A"/>
    <w:rsid w:val="6636385A"/>
    <w:rsid w:val="664B5C62"/>
    <w:rsid w:val="66A36E91"/>
    <w:rsid w:val="66AD128F"/>
    <w:rsid w:val="66BA611A"/>
    <w:rsid w:val="66E34F76"/>
    <w:rsid w:val="66E74364"/>
    <w:rsid w:val="66E96942"/>
    <w:rsid w:val="671C3D26"/>
    <w:rsid w:val="671C5C1A"/>
    <w:rsid w:val="67221F81"/>
    <w:rsid w:val="673E1CEC"/>
    <w:rsid w:val="675166AE"/>
    <w:rsid w:val="677B6A13"/>
    <w:rsid w:val="678C53CC"/>
    <w:rsid w:val="681459C9"/>
    <w:rsid w:val="682B5416"/>
    <w:rsid w:val="684F760D"/>
    <w:rsid w:val="685E39E9"/>
    <w:rsid w:val="68683DB9"/>
    <w:rsid w:val="686B1826"/>
    <w:rsid w:val="68A71E80"/>
    <w:rsid w:val="68DB3912"/>
    <w:rsid w:val="68F52126"/>
    <w:rsid w:val="691508C1"/>
    <w:rsid w:val="693A064F"/>
    <w:rsid w:val="6960700F"/>
    <w:rsid w:val="697D0419"/>
    <w:rsid w:val="69962D64"/>
    <w:rsid w:val="69AE60BC"/>
    <w:rsid w:val="69E5204A"/>
    <w:rsid w:val="69EF5291"/>
    <w:rsid w:val="6A5D58AD"/>
    <w:rsid w:val="6A710F2A"/>
    <w:rsid w:val="6AE12B94"/>
    <w:rsid w:val="6AEC5DE3"/>
    <w:rsid w:val="6AEE2C32"/>
    <w:rsid w:val="6AF331CB"/>
    <w:rsid w:val="6B126884"/>
    <w:rsid w:val="6B2B1DD5"/>
    <w:rsid w:val="6B3A0D6C"/>
    <w:rsid w:val="6B520CC5"/>
    <w:rsid w:val="6B6917F5"/>
    <w:rsid w:val="6B9B2E99"/>
    <w:rsid w:val="6BA24D0A"/>
    <w:rsid w:val="6BB009AC"/>
    <w:rsid w:val="6BD74DC6"/>
    <w:rsid w:val="6BE34DA3"/>
    <w:rsid w:val="6BEB5009"/>
    <w:rsid w:val="6BF5237A"/>
    <w:rsid w:val="6C183CFC"/>
    <w:rsid w:val="6C267A4C"/>
    <w:rsid w:val="6C2740B5"/>
    <w:rsid w:val="6C5A29F1"/>
    <w:rsid w:val="6C672391"/>
    <w:rsid w:val="6CB5468A"/>
    <w:rsid w:val="6CD62ECA"/>
    <w:rsid w:val="6CDD5D53"/>
    <w:rsid w:val="6CF75E6A"/>
    <w:rsid w:val="6D1367DD"/>
    <w:rsid w:val="6D351B43"/>
    <w:rsid w:val="6D585E93"/>
    <w:rsid w:val="6D605A11"/>
    <w:rsid w:val="6D7D2BDC"/>
    <w:rsid w:val="6D833C9F"/>
    <w:rsid w:val="6D9F2C59"/>
    <w:rsid w:val="6DB84FE1"/>
    <w:rsid w:val="6DD53F7E"/>
    <w:rsid w:val="6DF24400"/>
    <w:rsid w:val="6DF65F74"/>
    <w:rsid w:val="6E151CCE"/>
    <w:rsid w:val="6E215028"/>
    <w:rsid w:val="6E3B6258"/>
    <w:rsid w:val="6E4522C1"/>
    <w:rsid w:val="6E5F5DB7"/>
    <w:rsid w:val="6E6E41C7"/>
    <w:rsid w:val="6E913BE5"/>
    <w:rsid w:val="6EA36622"/>
    <w:rsid w:val="6EB82368"/>
    <w:rsid w:val="6ED41643"/>
    <w:rsid w:val="6ED62FE7"/>
    <w:rsid w:val="6ED96FFB"/>
    <w:rsid w:val="6EE3794C"/>
    <w:rsid w:val="6EEE0831"/>
    <w:rsid w:val="6F3841C1"/>
    <w:rsid w:val="6F416EA2"/>
    <w:rsid w:val="6F5902E8"/>
    <w:rsid w:val="6F5C5823"/>
    <w:rsid w:val="6F647DB0"/>
    <w:rsid w:val="6F8132A3"/>
    <w:rsid w:val="6F9A0270"/>
    <w:rsid w:val="6F9A2B52"/>
    <w:rsid w:val="6FE25C21"/>
    <w:rsid w:val="6FF40148"/>
    <w:rsid w:val="6FF9166E"/>
    <w:rsid w:val="700E163D"/>
    <w:rsid w:val="70122804"/>
    <w:rsid w:val="701F026D"/>
    <w:rsid w:val="702F139A"/>
    <w:rsid w:val="703C18A0"/>
    <w:rsid w:val="70437BE8"/>
    <w:rsid w:val="70480329"/>
    <w:rsid w:val="70501F8F"/>
    <w:rsid w:val="705F1B79"/>
    <w:rsid w:val="708A1D5C"/>
    <w:rsid w:val="708D713D"/>
    <w:rsid w:val="709553C2"/>
    <w:rsid w:val="70DB5C9A"/>
    <w:rsid w:val="70DD7573"/>
    <w:rsid w:val="70EC465F"/>
    <w:rsid w:val="70ED32E1"/>
    <w:rsid w:val="713412ED"/>
    <w:rsid w:val="713A7714"/>
    <w:rsid w:val="714A1BF1"/>
    <w:rsid w:val="715F0C31"/>
    <w:rsid w:val="7186793D"/>
    <w:rsid w:val="718718B4"/>
    <w:rsid w:val="719048FC"/>
    <w:rsid w:val="719B2CEC"/>
    <w:rsid w:val="719C25BA"/>
    <w:rsid w:val="71A25B1B"/>
    <w:rsid w:val="71AE67EE"/>
    <w:rsid w:val="71D40949"/>
    <w:rsid w:val="71D57185"/>
    <w:rsid w:val="71DD7B8B"/>
    <w:rsid w:val="71E33DAC"/>
    <w:rsid w:val="71E4655A"/>
    <w:rsid w:val="71E60FE5"/>
    <w:rsid w:val="722857E6"/>
    <w:rsid w:val="72411005"/>
    <w:rsid w:val="72452568"/>
    <w:rsid w:val="725428BA"/>
    <w:rsid w:val="725B2E36"/>
    <w:rsid w:val="72607F17"/>
    <w:rsid w:val="72710380"/>
    <w:rsid w:val="728323FC"/>
    <w:rsid w:val="728B31DF"/>
    <w:rsid w:val="72906002"/>
    <w:rsid w:val="729C2FAE"/>
    <w:rsid w:val="729D2EDA"/>
    <w:rsid w:val="72A92426"/>
    <w:rsid w:val="72AA43F9"/>
    <w:rsid w:val="72B36FA7"/>
    <w:rsid w:val="72D8523E"/>
    <w:rsid w:val="72E451BD"/>
    <w:rsid w:val="72EE65B9"/>
    <w:rsid w:val="73341556"/>
    <w:rsid w:val="733E3163"/>
    <w:rsid w:val="734F4DB9"/>
    <w:rsid w:val="73503E5F"/>
    <w:rsid w:val="736C6F6F"/>
    <w:rsid w:val="73761F92"/>
    <w:rsid w:val="73897F62"/>
    <w:rsid w:val="73A34C81"/>
    <w:rsid w:val="73B605CB"/>
    <w:rsid w:val="73C6133A"/>
    <w:rsid w:val="73C6256C"/>
    <w:rsid w:val="73C86D2F"/>
    <w:rsid w:val="73D1270A"/>
    <w:rsid w:val="74001BEB"/>
    <w:rsid w:val="741A0E22"/>
    <w:rsid w:val="74394AD5"/>
    <w:rsid w:val="74515578"/>
    <w:rsid w:val="74553ABB"/>
    <w:rsid w:val="7493488D"/>
    <w:rsid w:val="75017C72"/>
    <w:rsid w:val="750F6B5A"/>
    <w:rsid w:val="75174322"/>
    <w:rsid w:val="7542224A"/>
    <w:rsid w:val="75461C13"/>
    <w:rsid w:val="755734C6"/>
    <w:rsid w:val="757A7670"/>
    <w:rsid w:val="75CC43BF"/>
    <w:rsid w:val="75E65CDD"/>
    <w:rsid w:val="75E77108"/>
    <w:rsid w:val="75F21F7F"/>
    <w:rsid w:val="75F350DA"/>
    <w:rsid w:val="75F3574F"/>
    <w:rsid w:val="760257AE"/>
    <w:rsid w:val="7626593F"/>
    <w:rsid w:val="76781D6F"/>
    <w:rsid w:val="7681435B"/>
    <w:rsid w:val="76947B0B"/>
    <w:rsid w:val="76AD0186"/>
    <w:rsid w:val="76AD4935"/>
    <w:rsid w:val="76BEA23C"/>
    <w:rsid w:val="77146343"/>
    <w:rsid w:val="77192B9C"/>
    <w:rsid w:val="773D4E3A"/>
    <w:rsid w:val="775A7269"/>
    <w:rsid w:val="777F2952"/>
    <w:rsid w:val="77996102"/>
    <w:rsid w:val="77C15950"/>
    <w:rsid w:val="77C4393C"/>
    <w:rsid w:val="77D037FB"/>
    <w:rsid w:val="77D25690"/>
    <w:rsid w:val="77EE5B27"/>
    <w:rsid w:val="78010CD4"/>
    <w:rsid w:val="78230ED4"/>
    <w:rsid w:val="7823752E"/>
    <w:rsid w:val="786814BA"/>
    <w:rsid w:val="789D1198"/>
    <w:rsid w:val="78AC19F2"/>
    <w:rsid w:val="78C77C9F"/>
    <w:rsid w:val="78D44FCA"/>
    <w:rsid w:val="78EB4129"/>
    <w:rsid w:val="78F16069"/>
    <w:rsid w:val="78F80850"/>
    <w:rsid w:val="7906550D"/>
    <w:rsid w:val="79171558"/>
    <w:rsid w:val="799A7599"/>
    <w:rsid w:val="79A44557"/>
    <w:rsid w:val="79A60C47"/>
    <w:rsid w:val="79B743D2"/>
    <w:rsid w:val="79D2132E"/>
    <w:rsid w:val="79E100E1"/>
    <w:rsid w:val="79E2261D"/>
    <w:rsid w:val="79EE760C"/>
    <w:rsid w:val="7A514236"/>
    <w:rsid w:val="7A560AD5"/>
    <w:rsid w:val="7A5730C4"/>
    <w:rsid w:val="7A6262D7"/>
    <w:rsid w:val="7A6B0132"/>
    <w:rsid w:val="7A7526F3"/>
    <w:rsid w:val="7A756417"/>
    <w:rsid w:val="7AAB7973"/>
    <w:rsid w:val="7AB75BAC"/>
    <w:rsid w:val="7ADB73AD"/>
    <w:rsid w:val="7AF720B3"/>
    <w:rsid w:val="7B334E72"/>
    <w:rsid w:val="7B402044"/>
    <w:rsid w:val="7B4403BA"/>
    <w:rsid w:val="7B46547A"/>
    <w:rsid w:val="7B7417EF"/>
    <w:rsid w:val="7B7B7F05"/>
    <w:rsid w:val="7BAE626B"/>
    <w:rsid w:val="7BC605D2"/>
    <w:rsid w:val="7BD30F58"/>
    <w:rsid w:val="7BE81DE5"/>
    <w:rsid w:val="7C086A9E"/>
    <w:rsid w:val="7C48250D"/>
    <w:rsid w:val="7C532A61"/>
    <w:rsid w:val="7C592B9D"/>
    <w:rsid w:val="7C82054D"/>
    <w:rsid w:val="7C87179E"/>
    <w:rsid w:val="7CD7038F"/>
    <w:rsid w:val="7CD743C6"/>
    <w:rsid w:val="7CD84BBD"/>
    <w:rsid w:val="7CDFDFA0"/>
    <w:rsid w:val="7CFB3B1F"/>
    <w:rsid w:val="7D3A302C"/>
    <w:rsid w:val="7D3E7558"/>
    <w:rsid w:val="7D4E6241"/>
    <w:rsid w:val="7D5F3E4A"/>
    <w:rsid w:val="7D8D5EFD"/>
    <w:rsid w:val="7D9A2A6C"/>
    <w:rsid w:val="7DC164AD"/>
    <w:rsid w:val="7DC20385"/>
    <w:rsid w:val="7DD40E59"/>
    <w:rsid w:val="7DED2017"/>
    <w:rsid w:val="7DF7EA90"/>
    <w:rsid w:val="7E0B3A5F"/>
    <w:rsid w:val="7E253181"/>
    <w:rsid w:val="7E7A354F"/>
    <w:rsid w:val="7E93692F"/>
    <w:rsid w:val="7EB97CD4"/>
    <w:rsid w:val="7EC27E1E"/>
    <w:rsid w:val="7EDE485A"/>
    <w:rsid w:val="7EF944F6"/>
    <w:rsid w:val="7F096B0B"/>
    <w:rsid w:val="7F0E036F"/>
    <w:rsid w:val="7F26614B"/>
    <w:rsid w:val="7F684E35"/>
    <w:rsid w:val="7F8D5ACB"/>
    <w:rsid w:val="7F9D4007"/>
    <w:rsid w:val="7F9E36D3"/>
    <w:rsid w:val="7FAA0E9F"/>
    <w:rsid w:val="7FB4297D"/>
    <w:rsid w:val="7FC04442"/>
    <w:rsid w:val="7FD2572E"/>
    <w:rsid w:val="7FDE3DBE"/>
    <w:rsid w:val="7FEB5B75"/>
    <w:rsid w:val="7FED7184"/>
    <w:rsid w:val="7FF7E769"/>
    <w:rsid w:val="AF6DEDE2"/>
    <w:rsid w:val="AF7CDCCD"/>
    <w:rsid w:val="BBEDC4B9"/>
    <w:rsid w:val="BBEF0203"/>
    <w:rsid w:val="BDFDB6AF"/>
    <w:rsid w:val="BFBBCEC8"/>
    <w:rsid w:val="C6F4E9DD"/>
    <w:rsid w:val="DEFF8880"/>
    <w:rsid w:val="DFBF6D20"/>
    <w:rsid w:val="EFBA87EF"/>
    <w:rsid w:val="EFFEE829"/>
    <w:rsid w:val="F6FE7AF1"/>
    <w:rsid w:val="FD5EF40C"/>
    <w:rsid w:val="FF7B8128"/>
    <w:rsid w:val="FF9B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ind w:left="1407"/>
      <w:outlineLvl w:val="0"/>
    </w:pPr>
    <w:rPr>
      <w:rFonts w:ascii="宋体" w:hAnsi="宋体" w:eastAsia="宋体" w:cs="宋体"/>
      <w:b/>
      <w:bCs/>
      <w:sz w:val="44"/>
      <w:szCs w:val="44"/>
    </w:rPr>
  </w:style>
  <w:style w:type="paragraph" w:styleId="3">
    <w:name w:val="heading 3"/>
    <w:basedOn w:val="1"/>
    <w:next w:val="1"/>
    <w:qFormat/>
    <w:uiPriority w:val="1"/>
    <w:pPr>
      <w:spacing w:line="418" w:lineRule="exact"/>
      <w:ind w:left="200"/>
      <w:outlineLvl w:val="2"/>
    </w:pPr>
    <w:rPr>
      <w:rFonts w:ascii="宋体" w:hAnsi="宋体" w:eastAsia="宋体" w:cs="宋体"/>
      <w:b/>
      <w:bCs/>
      <w:sz w:val="33"/>
      <w:szCs w:val="33"/>
    </w:rPr>
  </w:style>
  <w:style w:type="paragraph" w:styleId="4">
    <w:name w:val="heading 4"/>
    <w:basedOn w:val="1"/>
    <w:next w:val="1"/>
    <w:qFormat/>
    <w:uiPriority w:val="1"/>
    <w:pPr>
      <w:ind w:left="1641"/>
      <w:outlineLvl w:val="3"/>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rPr>
      <w:rFonts w:ascii="Cambria" w:hAnsi="Cambria" w:eastAsia="黑体" w:cs="Times New Roman"/>
      <w:sz w:val="20"/>
    </w:rPr>
  </w:style>
  <w:style w:type="paragraph" w:styleId="6">
    <w:name w:val="Body Text"/>
    <w:basedOn w:val="1"/>
    <w:qFormat/>
    <w:uiPriority w:val="1"/>
    <w:rPr>
      <w:sz w:val="32"/>
      <w:szCs w:val="32"/>
    </w:rPr>
  </w:style>
  <w:style w:type="paragraph" w:styleId="7">
    <w:name w:val="footer"/>
    <w:basedOn w:val="1"/>
    <w:qFormat/>
    <w:uiPriority w:val="99"/>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Table Paragraph"/>
    <w:basedOn w:val="1"/>
    <w:qFormat/>
    <w:uiPriority w:val="1"/>
    <w:rPr>
      <w:rFonts w:ascii="宋体" w:hAnsi="宋体" w:eastAsia="宋体" w:cs="宋体"/>
    </w:rPr>
  </w:style>
  <w:style w:type="paragraph" w:styleId="13">
    <w:name w:val="List Paragraph"/>
    <w:basedOn w:val="1"/>
    <w:qFormat/>
    <w:uiPriority w:val="1"/>
    <w:pPr>
      <w:spacing w:before="250"/>
      <w:ind w:left="1975" w:hanging="482"/>
    </w:pPr>
  </w:style>
  <w:style w:type="character" w:customStyle="1" w:styleId="14">
    <w:name w:val="font31"/>
    <w:basedOn w:val="11"/>
    <w:qFormat/>
    <w:uiPriority w:val="0"/>
    <w:rPr>
      <w:rFonts w:ascii="仿宋_GB2312" w:eastAsia="仿宋_GB2312" w:cs="仿宋_GB2312"/>
      <w:color w:val="000000"/>
      <w:sz w:val="24"/>
      <w:szCs w:val="24"/>
      <w:u w:val="none"/>
    </w:rPr>
  </w:style>
  <w:style w:type="character" w:customStyle="1" w:styleId="15">
    <w:name w:val="font61"/>
    <w:basedOn w:val="11"/>
    <w:qFormat/>
    <w:uiPriority w:val="0"/>
    <w:rPr>
      <w:rFonts w:hint="eastAsia" w:ascii="仿宋_GB2312" w:eastAsia="仿宋_GB2312" w:cs="仿宋_GB2312"/>
      <w:color w:val="000000"/>
      <w:sz w:val="18"/>
      <w:szCs w:val="18"/>
      <w:u w:val="none"/>
    </w:rPr>
  </w:style>
  <w:style w:type="character" w:customStyle="1" w:styleId="16">
    <w:name w:val="font2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2021-03-20T01:28:00Z</dcterms:created>
  <dc:creator>lenovo</dc:creator>
  <cp:lastModifiedBy>平凉市编办单位管理员</cp:lastModifiedBy>
  <cp:lastPrinted>2023-03-24T08:31:00Z</cp:lastPrinted>
  <dcterms:modified xsi:type="dcterms:W3CDTF">2024-09-24T08:38:25Z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BA51E33ECFD645D8A452FE0DF9371B2B</vt:lpwstr>
  </property>
</Properties>
</file>